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hint="eastAsia" w:eastAsia="黑体"/>
          <w:color w:val="000000" w:themeColor="text1"/>
          <w:sz w:val="72"/>
          <w:szCs w:val="72"/>
          <w:highlight w:val="none"/>
          <w14:textFill>
            <w14:solidFill>
              <w14:schemeClr w14:val="tx1"/>
            </w14:solidFill>
          </w14:textFill>
        </w:rPr>
      </w:pPr>
      <w:r>
        <w:rPr>
          <w:rFonts w:hint="eastAsia" w:eastAsia="黑体"/>
          <w:color w:val="000000" w:themeColor="text1"/>
          <w:sz w:val="72"/>
          <w:szCs w:val="72"/>
          <w:highlight w:val="none"/>
          <w14:textFill>
            <w14:solidFill>
              <w14:schemeClr w14:val="tx1"/>
            </w14:solidFill>
          </w14:textFill>
        </w:rPr>
      </w:r>
      <w:r/>
    </w:p>
    <w:p>
      <w:pPr>
        <w:jc w:val="center"/>
        <w:spacing w:before="120" w:after="120" w:line="300" w:lineRule="auto"/>
        <w:rPr>
          <w:rFonts w:hint="eastAsia"/>
          <w:b/>
          <w:color w:val="000000" w:themeColor="text1"/>
          <w:sz w:val="84"/>
          <w:szCs w:val="21"/>
          <w:highlight w:val="none"/>
          <w14:textFill>
            <w14:solidFill>
              <w14:schemeClr w14:val="tx1"/>
            </w14:solidFill>
          </w14:textFill>
        </w:rPr>
      </w:pPr>
      <w:r>
        <w:rPr>
          <w:rFonts w:hint="eastAsia"/>
          <w:b/>
          <w:color w:val="000000" w:themeColor="text1"/>
          <w:sz w:val="84"/>
          <w:szCs w:val="21"/>
          <w:highlight w:val="none"/>
          <w14:textFill>
            <w14:solidFill>
              <w14:schemeClr w14:val="tx1"/>
            </w14:solidFill>
          </w14:textFill>
        </w:rPr>
      </w:r>
      <w:r/>
    </w:p>
    <w:p>
      <w:pPr>
        <w:jc w:val="center"/>
        <w:spacing w:before="120" w:after="120" w:line="300" w:lineRule="auto"/>
        <w:rPr>
          <w:rFonts w:hint="eastAsia"/>
          <w:b/>
          <w:color w:val="000000" w:themeColor="text1"/>
          <w:sz w:val="84"/>
          <w:szCs w:val="21"/>
          <w:highlight w:val="none"/>
          <w14:textFill>
            <w14:solidFill>
              <w14:schemeClr w14:val="tx1"/>
            </w14:solidFill>
          </w14:textFill>
        </w:rPr>
      </w:pPr>
      <w:r>
        <w:rPr>
          <w:rFonts w:hint="eastAsia"/>
          <w:b/>
          <w:color w:val="000000" w:themeColor="text1"/>
          <w:sz w:val="84"/>
          <w:szCs w:val="21"/>
          <w:highlight w:val="none"/>
          <w14:textFill>
            <w14:solidFill>
              <w14:schemeClr w14:val="tx1"/>
            </w14:solidFill>
          </w14:textFill>
        </w:rPr>
        <w:t xml:space="preserve">询 价 文 件</w:t>
      </w:r>
      <w:r/>
    </w:p>
    <w:p>
      <w:pPr>
        <w:spacing w:line="300" w:lineRule="auto"/>
        <w:rPr>
          <w:rFonts w:hint="eastAsia"/>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r>
      <w:r/>
    </w:p>
    <w:p>
      <w:pPr>
        <w:jc w:val="center"/>
        <w:spacing w:line="300" w:lineRule="auto"/>
        <w:rPr>
          <w:rFonts w:hint="eastAsia"/>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r>
      <w:r/>
    </w:p>
    <w:p>
      <w:pPr>
        <w:jc w:val="center"/>
        <w:spacing w:line="300" w:lineRule="auto"/>
        <w:rPr>
          <w:rFonts w:hint="eastAsia"/>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r>
      <w:r/>
    </w:p>
    <w:p>
      <w:pPr>
        <w:jc w:val="center"/>
        <w:spacing w:line="300" w:lineRule="auto"/>
        <w:rPr>
          <w:rFonts w:hint="eastAsia"/>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r>
      <w:r/>
    </w:p>
    <w:p>
      <w:pPr>
        <w:ind w:firstLine="0"/>
        <w:jc w:val="left"/>
        <w:keepLines w:val="0"/>
        <w:keepNext w:val="0"/>
        <w:pageBreakBefore w:val="0"/>
        <w:widowControl w:val="off"/>
        <w:rPr>
          <w:rFonts w:hint="eastAsia" w:ascii="宋体" w:eastAsia="宋体"/>
          <w:b/>
          <w:color w:val="000000" w:themeColor="text1"/>
          <w:sz w:val="36"/>
          <w:highlight w:val="none"/>
          <w:lang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 xml:space="preserve">项目名称：</w:t>
      </w:r>
      <w:r>
        <w:rPr>
          <w:rFonts w:hint="eastAsia" w:ascii="宋体"/>
          <w:b/>
          <w:color w:val="000000" w:themeColor="text1"/>
          <w:sz w:val="36"/>
          <w:highlight w:val="none"/>
          <w:lang w:eastAsia="zh-CN"/>
          <w14:textFill>
            <w14:solidFill>
              <w14:schemeClr w14:val="tx1"/>
            </w14:solidFill>
          </w14:textFill>
        </w:rPr>
        <w:t xml:space="preserve">盐城农业科技职业学院大数据应用实训室实训平台及配套设备采购项目</w:t>
      </w:r>
      <w:r/>
    </w:p>
    <w:p>
      <w:pPr>
        <w:jc w:val="center"/>
        <w:rPr>
          <w:rFonts w:hint="eastAsia" w:eastAsia="黑体"/>
          <w:b/>
          <w:color w:val="000000" w:themeColor="text1"/>
          <w:sz w:val="32"/>
          <w:highlight w:val="none"/>
          <w14:textFill>
            <w14:solidFill>
              <w14:schemeClr w14:val="tx1"/>
            </w14:solidFill>
          </w14:textFill>
        </w:rPr>
      </w:pPr>
      <w:r>
        <w:rPr>
          <w:rFonts w:hint="eastAsia" w:eastAsia="黑体"/>
          <w:b/>
          <w:color w:val="000000" w:themeColor="text1"/>
          <w:sz w:val="32"/>
          <w:highlight w:val="none"/>
          <w14:textFill>
            <w14:solidFill>
              <w14:schemeClr w14:val="tx1"/>
            </w14:solidFill>
          </w14:textFill>
        </w:rPr>
      </w:r>
      <w:r/>
    </w:p>
    <w:p>
      <w:pPr>
        <w:rPr>
          <w:rFonts w:hint="eastAsia" w:ascii="宋体" w:eastAsia="宋体"/>
          <w:b/>
          <w:color w:val="000000" w:themeColor="text1"/>
          <w:sz w:val="30"/>
          <w:szCs w:val="30"/>
          <w:highlight w:val="none"/>
          <w:lang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 xml:space="preserve">项</w:t>
      </w:r>
      <w:r>
        <w:rPr>
          <w:rFonts w:hint="eastAsia" w:ascii="宋体" w:hAnsi="宋体" w:cs="宋体"/>
          <w:b/>
          <w:color w:val="000000" w:themeColor="text1"/>
          <w:sz w:val="36"/>
          <w:szCs w:val="36"/>
          <w:highlight w:val="none"/>
          <w14:textFill>
            <w14:solidFill>
              <w14:schemeClr w14:val="tx1"/>
            </w14:solidFill>
          </w14:textFill>
        </w:rPr>
        <w:t xml:space="preserve">目编号：</w:t>
      </w:r>
      <w:r>
        <w:rPr>
          <w:rFonts w:hint="eastAsia" w:ascii="宋体" w:hAnsi="宋体" w:cs="宋体"/>
          <w:b/>
          <w:color w:val="000000" w:themeColor="text1"/>
          <w:spacing w:val="15"/>
          <w:sz w:val="30"/>
          <w:szCs w:val="30"/>
          <w:highlight w:val="none"/>
          <w14:textFill>
            <w14:solidFill>
              <w14:schemeClr w14:val="tx1"/>
            </w14:solidFill>
          </w14:textFill>
        </w:rPr>
        <w:t xml:space="preserve"> </w:t>
      </w:r>
      <w:r>
        <w:rPr>
          <w:rFonts w:hint="eastAsia" w:ascii="宋体" w:hAnsi="宋体" w:cs="宋体"/>
          <w:b/>
          <w:color w:val="000000" w:themeColor="text1"/>
          <w:spacing w:val="15"/>
          <w:sz w:val="30"/>
          <w:szCs w:val="30"/>
          <w:highlight w:val="none"/>
          <w:lang w:eastAsia="zh-CN"/>
          <w14:textFill>
            <w14:solidFill>
              <w14:schemeClr w14:val="tx1"/>
            </w14:solidFill>
          </w14:textFill>
        </w:rPr>
        <w:t xml:space="preserve">JSZC-320900-RHHH-X2025-0145</w:t>
      </w:r>
      <w:r/>
    </w:p>
    <w:p>
      <w:pPr>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04"/>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04"/>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04"/>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04"/>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04"/>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jc w:val="center"/>
        <w:rPr>
          <w:rFonts w:hint="eastAsia" w:ascii="宋体" w:hAnsi="宋体" w:cs="宋体"/>
          <w:b/>
          <w:color w:val="000000" w:themeColor="text1"/>
          <w:spacing w:val="15"/>
          <w:sz w:val="30"/>
          <w:szCs w:val="30"/>
          <w:highlight w:val="none"/>
          <w14:textFill>
            <w14:solidFill>
              <w14:schemeClr w14:val="tx1"/>
            </w14:solidFill>
          </w14:textFill>
        </w:rPr>
      </w:pPr>
      <w:r>
        <w:rPr>
          <w:rFonts w:hint="eastAsia" w:ascii="宋体" w:hAnsi="宋体" w:cs="宋体"/>
          <w:b/>
          <w:color w:val="000000" w:themeColor="text1"/>
          <w:spacing w:val="15"/>
          <w:sz w:val="30"/>
          <w:szCs w:val="30"/>
          <w:highlight w:val="none"/>
          <w14:textFill>
            <w14:solidFill>
              <w14:schemeClr w14:val="tx1"/>
            </w14:solidFill>
          </w14:textFill>
        </w:rPr>
        <w:t xml:space="preserve">盐城农业科技职业学院</w:t>
      </w:r>
      <w:r/>
    </w:p>
    <w:p>
      <w:pPr>
        <w:jc w:val="center"/>
        <w:rPr>
          <w:rFonts w:hint="eastAsia" w:ascii="宋体" w:hAnsi="宋体" w:cs="宋体"/>
          <w:b/>
          <w:color w:val="000000" w:themeColor="text1"/>
          <w:spacing w:val="15"/>
          <w:sz w:val="30"/>
          <w:szCs w:val="30"/>
          <w:highlight w:val="none"/>
          <w14:textFill>
            <w14:solidFill>
              <w14:schemeClr w14:val="tx1"/>
            </w14:solidFill>
          </w14:textFill>
        </w:rPr>
      </w:pPr>
      <w:r>
        <w:rPr>
          <w:rFonts w:hint="eastAsia" w:ascii="宋体" w:hAnsi="宋体" w:cs="宋体"/>
          <w:b/>
          <w:color w:val="000000" w:themeColor="text1"/>
          <w:spacing w:val="15"/>
          <w:sz w:val="30"/>
          <w:szCs w:val="30"/>
          <w:highlight w:val="none"/>
          <w14:textFill>
            <w14:solidFill>
              <w14:schemeClr w14:val="tx1"/>
            </w14:solidFill>
          </w14:textFill>
        </w:rPr>
      </w:r>
      <w:r/>
    </w:p>
    <w:p>
      <w:pPr>
        <w:jc w:val="center"/>
        <w:rPr>
          <w:rFonts w:ascii="黑体" w:eastAsia="黑体"/>
          <w:color w:val="000000" w:themeColor="text1"/>
          <w:sz w:val="36"/>
          <w:szCs w:val="36"/>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2025年</w:t>
      </w:r>
      <w:r>
        <w:rPr>
          <w:rFonts w:hint="eastAsia" w:ascii="宋体" w:hAnsi="宋体" w:cs="宋体"/>
          <w:b/>
          <w:color w:val="000000" w:themeColor="text1"/>
          <w:sz w:val="30"/>
          <w:szCs w:val="30"/>
          <w:highlight w:val="none"/>
          <w:lang w:val="en-US" w:eastAsia="zh-CN"/>
          <w14:textFill>
            <w14:solidFill>
              <w14:schemeClr w14:val="tx1"/>
            </w14:solidFill>
          </w14:textFill>
        </w:rPr>
        <w:t xml:space="preserve">12</w:t>
      </w:r>
      <w:r>
        <w:rPr>
          <w:rFonts w:hint="eastAsia" w:ascii="宋体" w:hAnsi="宋体" w:cs="宋体"/>
          <w:b/>
          <w:color w:val="000000" w:themeColor="text1"/>
          <w:sz w:val="30"/>
          <w:szCs w:val="30"/>
          <w:highlight w:val="none"/>
          <w14:textFill>
            <w14:solidFill>
              <w14:schemeClr w14:val="tx1"/>
            </w14:solidFill>
          </w14:textFill>
        </w:rPr>
        <w:t xml:space="preserve">月</w:t>
      </w:r>
      <w:r/>
    </w:p>
    <w:p>
      <w:pPr>
        <w:ind w:firstLine="3780"/>
        <w:spacing w:before="120" w:after="120" w:line="460" w:lineRule="exact"/>
        <w:rPr>
          <w:rFonts w:hint="eastAsia" w:eastAsia="黑体"/>
          <w:color w:val="000000" w:themeColor="text1"/>
          <w:sz w:val="36"/>
          <w:szCs w:val="36"/>
          <w:highlight w:val="none"/>
          <w14:textFill>
            <w14:solidFill>
              <w14:schemeClr w14:val="tx1"/>
            </w14:solidFill>
          </w14:textFill>
        </w:rPr>
      </w:pPr>
      <w:r>
        <w:rPr>
          <w:rFonts w:hint="eastAsia" w:eastAsia="黑体"/>
          <w:color w:val="000000" w:themeColor="text1"/>
          <w:sz w:val="36"/>
          <w:szCs w:val="36"/>
          <w:highlight w:val="none"/>
          <w14:textFill>
            <w14:solidFill>
              <w14:schemeClr w14:val="tx1"/>
            </w14:solidFill>
          </w14:textFill>
        </w:rPr>
      </w:r>
      <w:r/>
    </w:p>
    <w:p>
      <w:pPr>
        <w:ind w:firstLine="3780"/>
        <w:spacing w:before="120" w:after="120" w:line="460" w:lineRule="exact"/>
        <w:rPr>
          <w:rFonts w:hint="eastAsia" w:eastAsia="黑体"/>
          <w:color w:val="000000" w:themeColor="text1"/>
          <w:sz w:val="36"/>
          <w:szCs w:val="36"/>
          <w:highlight w:val="none"/>
          <w14:textFill>
            <w14:solidFill>
              <w14:schemeClr w14:val="tx1"/>
            </w14:solidFill>
          </w14:textFill>
        </w:rPr>
      </w:pPr>
      <w:r>
        <w:rPr>
          <w:rFonts w:hint="eastAsia" w:eastAsia="黑体"/>
          <w:color w:val="000000" w:themeColor="text1"/>
          <w:sz w:val="36"/>
          <w:szCs w:val="36"/>
          <w:highlight w:val="none"/>
          <w14:textFill>
            <w14:solidFill>
              <w14:schemeClr w14:val="tx1"/>
            </w14:solidFill>
          </w14:textFill>
        </w:rPr>
      </w:r>
      <w:r/>
    </w:p>
    <w:p>
      <w:pPr>
        <w:jc w:val="center"/>
        <w:spacing w:before="120" w:after="120" w:line="460" w:lineRule="exact"/>
        <w:rPr>
          <w:rFonts w:hint="eastAsia" w:eastAsia="黑体"/>
          <w:color w:val="000000" w:themeColor="text1"/>
          <w:sz w:val="36"/>
          <w:szCs w:val="36"/>
          <w:highlight w:val="none"/>
          <w14:textFill>
            <w14:solidFill>
              <w14:schemeClr w14:val="tx1"/>
            </w14:solidFill>
          </w14:textFill>
        </w:rPr>
      </w:pPr>
      <w:r>
        <w:rPr>
          <w:rFonts w:hint="eastAsia" w:eastAsia="黑体"/>
          <w:color w:val="000000" w:themeColor="text1"/>
          <w:sz w:val="36"/>
          <w:szCs w:val="36"/>
          <w:highlight w:val="none"/>
          <w14:textFill>
            <w14:solidFill>
              <w14:schemeClr w14:val="tx1"/>
            </w14:solidFill>
          </w14:textFill>
        </w:rPr>
      </w:r>
      <w:r/>
    </w:p>
    <w:p>
      <w:pPr>
        <w:pStyle w:val="796"/>
        <w:jc w:val="center"/>
        <w:spacing w:before="0" w:beforeAutospacing="0" w:after="0" w:afterAutospacing="0" w:line="480" w:lineRule="auto"/>
        <w:widowControl w:val="off"/>
        <w:rPr>
          <w:color w:val="000000" w:themeColor="text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 </w:t>
      </w:r>
      <w:bookmarkStart w:id="0" w:name="_Toc120614210"/>
      <w:r/>
      <w:bookmarkStart w:id="1" w:name="_Toc479757206"/>
      <w:r/>
      <w:bookmarkStart w:id="2" w:name="_Toc523127445"/>
      <w:r/>
      <w:bookmarkStart w:id="3" w:name="_Toc513029200"/>
      <w:r/>
      <w:bookmarkStart w:id="4" w:name="_Toc20823272"/>
      <w:r/>
      <w:bookmarkStart w:id="5" w:name="_Toc16938516"/>
      <w:r>
        <w:rPr>
          <w:rFonts w:ascii="黑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796"/>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96"/>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14:textFill>
            <w14:solidFill>
              <w14:schemeClr w14:val="tx1"/>
            </w14:solidFill>
          </w14:textFill>
        </w:rPr>
      </w:pPr>
      <w:r>
        <w:rPr>
          <w:rFonts w:hint="eastAsia" w:ascii="黑体" w:eastAsia="黑体" w:cs="黑体"/>
          <w:color w:val="000000" w:themeColor="text1"/>
          <w:sz w:val="40"/>
          <w:szCs w:val="40"/>
          <w:highlight w:val="none"/>
          <w14:textFill>
            <w14:solidFill>
              <w14:schemeClr w14:val="tx1"/>
            </w14:solidFill>
          </w14:textFill>
        </w:rPr>
        <w:t xml:space="preserve">询价</w:t>
      </w:r>
      <w:r>
        <w:rPr>
          <w:rFonts w:hint="eastAsia" w:ascii="黑体" w:eastAsia="黑体" w:cs="黑体"/>
          <w:color w:val="000000" w:themeColor="text1"/>
          <w:sz w:val="40"/>
          <w:szCs w:val="40"/>
          <w:highlight w:val="none"/>
          <w:lang w:val="en-US" w:eastAsia="zh-CN"/>
          <w14:textFill>
            <w14:solidFill>
              <w14:schemeClr w14:val="tx1"/>
            </w14:solidFill>
          </w14:textFill>
        </w:rPr>
        <w:t xml:space="preserve">公告</w:t>
      </w:r>
      <w:r/>
    </w:p>
    <w:p>
      <w:pPr>
        <w:pStyle w:val="796"/>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14:textFill>
            <w14:solidFill>
              <w14:schemeClr w14:val="tx1"/>
            </w14:solidFill>
          </w14:textFill>
        </w:rPr>
      </w:pPr>
      <w:r>
        <w:rPr>
          <w:rFonts w:hint="eastAsia" w:ascii="黑体" w:eastAsia="黑体" w:cs="黑体"/>
          <w:color w:val="000000" w:themeColor="text1"/>
          <w:sz w:val="40"/>
          <w:szCs w:val="40"/>
          <w:highlight w:val="none"/>
          <w14:textFill>
            <w14:solidFill>
              <w14:schemeClr w14:val="tx1"/>
            </w14:solidFill>
          </w14:textFill>
        </w:rPr>
        <w:t xml:space="preserve">供应商须知 </w:t>
      </w:r>
      <w:r/>
    </w:p>
    <w:p>
      <w:pPr>
        <w:pStyle w:val="796"/>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14:textFill>
            <w14:solidFill>
              <w14:schemeClr w14:val="tx1"/>
            </w14:solidFill>
          </w14:textFill>
        </w:rPr>
      </w:pPr>
      <w:r>
        <w:rPr>
          <w:rFonts w:hint="eastAsia" w:ascii="黑体" w:eastAsia="黑体" w:cs="黑体"/>
          <w:color w:val="000000" w:themeColor="text1"/>
          <w:sz w:val="40"/>
          <w:szCs w:val="40"/>
          <w:highlight w:val="none"/>
          <w14:textFill>
            <w14:solidFill>
              <w14:schemeClr w14:val="tx1"/>
            </w14:solidFill>
          </w14:textFill>
        </w:rPr>
        <w:t xml:space="preserve">合同</w:t>
      </w:r>
      <w:r>
        <w:rPr>
          <w:rFonts w:hint="eastAsia" w:ascii="黑体" w:eastAsia="黑体" w:cs="黑体"/>
          <w:color w:val="000000" w:themeColor="text1"/>
          <w:sz w:val="40"/>
          <w:szCs w:val="40"/>
          <w:highlight w:val="none"/>
          <w:lang w:eastAsia="zh-CN"/>
          <w14:textFill>
            <w14:solidFill>
              <w14:schemeClr w14:val="tx1"/>
            </w14:solidFill>
          </w14:textFill>
        </w:rPr>
        <w:t xml:space="preserve">条款</w:t>
      </w:r>
      <w:r/>
    </w:p>
    <w:p>
      <w:pPr>
        <w:pStyle w:val="796"/>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14:textFill>
            <w14:solidFill>
              <w14:schemeClr w14:val="tx1"/>
            </w14:solidFill>
          </w14:textFill>
        </w:rPr>
      </w:pPr>
      <w:r>
        <w:rPr>
          <w:rFonts w:hint="eastAsia" w:ascii="黑体" w:eastAsia="黑体" w:cs="黑体"/>
          <w:color w:val="000000" w:themeColor="text1"/>
          <w:sz w:val="40"/>
          <w:szCs w:val="40"/>
          <w:highlight w:val="none"/>
          <w14:textFill>
            <w14:solidFill>
              <w14:schemeClr w14:val="tx1"/>
            </w14:solidFill>
          </w14:textFill>
        </w:rPr>
        <w:t xml:space="preserve">采购需求</w:t>
      </w:r>
      <w:r/>
    </w:p>
    <w:p>
      <w:pPr>
        <w:pStyle w:val="796"/>
        <w:ind w:left="720" w:firstLine="800"/>
        <w:jc w:val="both"/>
        <w:keepLines w:val="0"/>
        <w:keepNext w:val="0"/>
        <w:pageBreakBefore w:val="0"/>
        <w:spacing w:before="0" w:beforeAutospacing="0" w:after="0" w:afterAutospacing="0" w:line="480" w:lineRule="auto"/>
        <w:widowControl w:val="off"/>
        <w:tabs>
          <w:tab w:val="left" w:pos="1441" w:leader="none"/>
        </w:tabs>
        <w:rPr>
          <w:color w:val="000000" w:themeColor="text1"/>
          <w:sz w:val="28"/>
          <w:szCs w:val="28"/>
          <w:highlight w:val="none"/>
          <w14:textFill>
            <w14:solidFill>
              <w14:schemeClr w14:val="tx1"/>
            </w14:solidFill>
          </w14:textFill>
        </w:rPr>
      </w:pPr>
      <w:r>
        <w:rPr>
          <w:rFonts w:hint="eastAsia" w:ascii="黑体" w:eastAsia="黑体" w:cs="黑体"/>
          <w:color w:val="000000" w:themeColor="text1"/>
          <w:sz w:val="40"/>
          <w:szCs w:val="40"/>
          <w:highlight w:val="none"/>
          <w14:textFill>
            <w14:solidFill>
              <w14:schemeClr w14:val="tx1"/>
            </w14:solidFill>
          </w14:textFill>
        </w:rPr>
        <w:t xml:space="preserve">响应文件格式</w:t>
      </w:r>
      <w:r/>
    </w:p>
    <w:p>
      <w:pPr>
        <w:pStyle w:val="796"/>
        <w:jc w:val="both"/>
        <w:spacing w:before="0" w:beforeAutospacing="0" w:after="0" w:afterAutospacing="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96"/>
        <w:jc w:val="center"/>
        <w:keepNext/>
        <w:spacing w:beforeAutospacing="0" w:afterAutospacing="0"/>
        <w:rPr>
          <w:rFonts w:hint="eastAsia" w:ascii="仿宋" w:hAnsi="仿宋" w:eastAsia="仿宋" w:cs="仿宋"/>
          <w:color w:val="000000" w:themeColor="text1"/>
          <w:sz w:val="28"/>
          <w:szCs w:val="28"/>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br w:type="page" w:clear="all"/>
      </w:r>
      <w:r>
        <w:rPr>
          <w:rFonts w:hint="eastAsia" w:eastAsia="黑体"/>
          <w:color w:val="000000" w:themeColor="text1"/>
          <w:sz w:val="36"/>
          <w:szCs w:val="36"/>
          <w:highlight w:val="none"/>
          <w14:textFill>
            <w14:solidFill>
              <w14:schemeClr w14:val="tx1"/>
            </w14:solidFill>
          </w14:textFill>
        </w:rPr>
        <w:t xml:space="preserve">第一部分  </w:t>
      </w:r>
      <w:r>
        <w:rPr>
          <w:rFonts w:hint="eastAsia" w:eastAsia="黑体"/>
          <w:color w:val="000000" w:themeColor="text1"/>
          <w:sz w:val="36"/>
          <w:szCs w:val="36"/>
          <w:highlight w:val="none"/>
          <w:lang w:eastAsia="zh-CN"/>
          <w14:textFill>
            <w14:solidFill>
              <w14:schemeClr w14:val="tx1"/>
            </w14:solidFill>
          </w14:textFill>
        </w:rPr>
        <w:t xml:space="preserve">盐城农业科技职业学院大数据应用实训室实训平台及配套设备采购项目</w:t>
      </w:r>
      <w:r>
        <w:rPr>
          <w:rFonts w:hint="eastAsia" w:eastAsia="黑体"/>
          <w:color w:val="000000" w:themeColor="text1"/>
          <w:sz w:val="36"/>
          <w:szCs w:val="36"/>
          <w:highlight w:val="none"/>
          <w14:textFill>
            <w14:solidFill>
              <w14:schemeClr w14:val="tx1"/>
            </w14:solidFill>
          </w14:textFill>
        </w:rPr>
        <w:t xml:space="preserve">询价公告</w:t>
      </w:r>
      <w:r/>
    </w:p>
    <w:p>
      <w:pPr>
        <w:pStyle w:val="79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796"/>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cs="宋体"/>
          <w:color w:val="000000" w:themeColor="text1"/>
          <w:sz w:val="24"/>
          <w:szCs w:val="24"/>
          <w:highlight w:val="none"/>
          <w:u w:val="single"/>
          <w:lang w:val="en-US" w:eastAsia="zh-CN"/>
          <w14:textFill>
            <w14:solidFill>
              <w14:schemeClr w14:val="tx1"/>
            </w14:solidFill>
          </w14:textFill>
        </w:rPr>
        <w:t xml:space="preserve">盐城农业科技职业学院大数据应用实训室实训平台及配套设备采购项目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JSZC-320900-RHHH-X2025-0145</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采购项目的潜在供应商应在“苏采云”系统内免费下载（投标人必须在苏采云系统中获取询价文件，方能参与政府采购项目） 获取采购文件，并于2025-</w:t>
      </w:r>
      <w:r>
        <w:rPr>
          <w:rFonts w:hint="eastAsia" w:cs="宋体"/>
          <w:color w:val="000000" w:themeColor="text1"/>
          <w:sz w:val="24"/>
          <w:szCs w:val="24"/>
          <w:highlight w:val="none"/>
          <w:lang w:val="en-US" w:eastAsia="zh-CN"/>
          <w14:textFill>
            <w14:solidFill>
              <w14:schemeClr w14:val="tx1"/>
            </w14:solidFill>
          </w14:textFill>
        </w:rPr>
        <w:t xml:space="preserve">12-10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 （北京时间）前提交响应文件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96"/>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eastAsia="宋体" w:cs="宋体"/>
          <w:b/>
          <w:color w:val="000000" w:themeColor="text1"/>
          <w:sz w:val="24"/>
          <w:szCs w:val="24"/>
          <w:highlight w:val="none"/>
          <w14:textFill>
            <w14:solidFill>
              <w14:schemeClr w14:val="tx1"/>
            </w14:solidFill>
          </w14:textFill>
        </w:rPr>
        <w:t xml:space="preserve">一</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、项目基本情况</w:t>
      </w:r>
      <w:bookmarkEnd w:id="6"/>
      <w:r/>
      <w:bookmarkEnd w:id="7"/>
      <w:r/>
      <w:bookmarkEnd w:id="8"/>
      <w:r/>
      <w:bookmarkEnd w:id="9"/>
      <w:r/>
      <w:bookmarkEnd w:id="10"/>
      <w:r/>
      <w:bookmarkEnd w:id="1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1.项目编号：</w:t>
      </w:r>
      <w:r>
        <w:rPr>
          <w:rFonts w:hint="eastAsia" w:cs="宋体"/>
          <w:color w:val="000000" w:themeColor="text1"/>
          <w:sz w:val="24"/>
          <w:szCs w:val="24"/>
          <w:highlight w:val="none"/>
          <w:shd w:val="clear" w:color="auto" w:fill="auto"/>
          <w:lang w:eastAsia="zh-CN"/>
          <w14:textFill>
            <w14:solidFill>
              <w14:schemeClr w14:val="tx1"/>
            </w14:solidFill>
          </w14:textFill>
        </w:rPr>
        <w:t xml:space="preserve">JSZC-320900-RHHH-X2025-0145</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2.项目名称：</w:t>
      </w:r>
      <w:r>
        <w:rPr>
          <w:rFonts w:hint="eastAsia" w:cs="宋体"/>
          <w:color w:val="000000" w:themeColor="text1"/>
          <w:sz w:val="24"/>
          <w:szCs w:val="24"/>
          <w:highlight w:val="none"/>
          <w:shd w:val="clear" w:color="auto" w:fill="auto"/>
          <w:lang w:eastAsia="zh-CN"/>
          <w14:textFill>
            <w14:solidFill>
              <w14:schemeClr w14:val="tx1"/>
            </w14:solidFill>
          </w14:textFill>
        </w:rPr>
        <w:t xml:space="preserve">盐城农业科技职业学院大数据应用实训室实训平台及配套设备采购项目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采购方式：询价</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4.预算金额：</w:t>
      </w: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107</w:t>
      </w:r>
      <w:r>
        <w:rPr>
          <w:rFonts w:hint="eastAsia"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元</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最高限价（如有）：101.65万元</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.采购需求（简介）：</w:t>
      </w:r>
      <w:r>
        <w:rPr>
          <w:rFonts w:hint="eastAsia"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盐城农业科技职业学院大数据应用实训室实训平台及配套设备采购项目</w:t>
      </w:r>
      <w:r>
        <w:rPr>
          <w:rFonts w:hint="eastAsia"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包含大数据实训平台及运维系统、大数据仿真资源包、大数据项目实训资源包、配套硬件等</w:t>
      </w:r>
      <w:r>
        <w:rPr>
          <w:rFonts w:hint="eastAsia"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详细内容见本</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文件第四章</w:t>
      </w:r>
      <w:r>
        <w:rPr>
          <w:rFonts w:hint="eastAsia"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.合同履行期限：</w:t>
      </w: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日历天，具体服从采购人要求</w:t>
      </w:r>
      <w:r>
        <w:rPr>
          <w:rFonts w:hint="eastAsia"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8.本项目</w:t>
      </w:r>
      <w:r>
        <w:rPr>
          <w:rFonts w:hint="eastAsia"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不</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接受联合体参与询价</w:t>
      </w:r>
      <w:r>
        <w:rPr>
          <w:rFonts w:hint="eastAsia"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w:t>
      </w:r>
      <w:r/>
    </w:p>
    <w:p>
      <w:pPr>
        <w:pStyle w:val="796"/>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35393791"/>
      <w:r/>
      <w:bookmarkStart w:id="13" w:name="_Toc38985264"/>
      <w:r/>
      <w:bookmarkStart w:id="14" w:name="_Toc28359003"/>
      <w:r/>
      <w:bookmarkStart w:id="15" w:name="_Toc35393622"/>
      <w:r/>
      <w:bookmarkStart w:id="16" w:name="_Toc28359080"/>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二、申请人的资格要求：</w:t>
      </w:r>
      <w:bookmarkEnd w:id="12"/>
      <w:r/>
      <w:bookmarkEnd w:id="13"/>
      <w:r/>
      <w:bookmarkEnd w:id="14"/>
      <w:r/>
      <w:bookmarkEnd w:id="15"/>
      <w:r/>
      <w:bookmarkEnd w:id="16"/>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1.满足《中华人民共和国政府采购法》第二十二条规定，并提供下列材料：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 法人或者其他组织的营业执照等证明文件，自然人的身份证明；</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（成立不满一年无需提供）；</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具备履行合同所必需的设备和专业技术能力的书面声明；</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.5参加政府采购活动前3年内在经营活动中没有重大违法记录的书面声明。</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1.6法律、行政法规规定的其他条件。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单位负责人为同一人或者存在直接控股、</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关系的不同供应商，不得参加同一合同项下的政府采购活动。</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无    </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pStyle w:val="796"/>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文件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7" w:name="_Toc35393793"/>
      <w:r/>
      <w:bookmarkStart w:id="18" w:name="_Toc35393624"/>
      <w:r/>
      <w:bookmarkStart w:id="19" w:name="_Toc38985266"/>
      <w:r/>
      <w:bookmarkStart w:id="20" w:name="_Toc28359082"/>
      <w:r/>
      <w:bookmarkStart w:id="21" w:name="_Toc28359005"/>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7"/>
      <w:r/>
      <w:bookmarkEnd w:id="18"/>
      <w:r/>
      <w:bookmarkEnd w:id="19"/>
      <w:r/>
      <w:bookmarkEnd w:id="20"/>
      <w:r/>
      <w:bookmarkEnd w:id="21"/>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自询价文件公告发布之日起3个工作日。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2.地点：“苏采云”系统内免费下载（投标人必须在苏采云系统中获取询价文件，方能参与政府采购项目）；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796"/>
        <w:ind w:firstLine="482"/>
        <w:jc w:val="both"/>
        <w:keepLines/>
        <w:keepNext/>
        <w:pageBreakBefore w:val="0"/>
        <w:spacing w:before="145" w:beforeAutospacing="0" w:after="145" w:afterAutospacing="0" w:line="56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四、响应文件</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提交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1.截止时间：</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2025-12-10 15:00</w:t>
      </w:r>
      <w:r>
        <w:rPr>
          <w:rFonts w:hint="eastAsia"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96"/>
        <w:ind w:firstLine="482"/>
        <w:jc w:val="both"/>
        <w:keepLines/>
        <w:keepNext/>
        <w:pageBreakBefore w:val="0"/>
        <w:spacing w:before="145" w:beforeAutospacing="0" w:after="145" w:afterAutospacing="0" w:line="560" w:lineRule="exact"/>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bookmarkStart w:id="22" w:name="_Toc35393795"/>
      <w:r/>
      <w:bookmarkStart w:id="23" w:name="_Toc38985268"/>
      <w:r/>
      <w:bookmarkStart w:id="24" w:name="_Toc35393626"/>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五、开启</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时间</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rPr>
          <w:rFonts w:hint="eastAsia"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2025-12-10 15:00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（北京时间）</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bookmarkEnd w:id="22"/>
      <w:r/>
      <w:bookmarkEnd w:id="23"/>
      <w:r/>
      <w:bookmarkEnd w:id="24"/>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地点</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64"/>
        <w:ind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5" w:name="_Toc28359094"/>
      <w:r>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t xml:space="preserve">六、公告期限</w:t>
      </w:r>
      <w:bookmarkEnd w:id="2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自本公告发布之日起3个工作日。</w:t>
      </w:r>
      <w:r/>
    </w:p>
    <w:p>
      <w:pPr>
        <w:pStyle w:val="764"/>
        <w:ind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t xml:space="preserve">七、其他补充事宜</w:t>
      </w:r>
      <w:bookmarkStart w:id="26" w:name="_Toc28359018"/>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2.潜在供应商访问电子招标响应交易平台的网络地址和方法：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2.2 潜在投标人访问“苏采云”系统方法：江苏省政府采购网首页-“苏采云”链接。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2.3 询价文件（后缀名为“.kedt”）、供应商操作手册及政府采购客户端 工具可通过“苏采云”系统相应链接进行下载。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2.4 采购代理机构将数据电文形式的询价文件加载至“苏采云”系统，供潜在供应商下载或者查阅。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如潜在投标人未按上述要求操作，将自行承担所产生的风险。</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 有关本次询价的事项若存在变动或修改，敬请及时关注采购代理机构在“中国政府采购网”、“江苏政府采购网”、“盐城市政府采购网”发布的更正公告。</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4.供应商不得提供虚假材料谋取中标成交的或采取不正当手段诋毁、排挤其他供应商。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5.供应商存在串通投标、以他人名义投标、弄虚作假等违法违规行为，或者无正当理由放弃投标、中标资格，造成项目招标失败的，不得参加该项目重新招标的投标，采购人将申请政府采购部门将相关供应商纳入企业征信管理体系。</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6.因供应商的系统环境、操作等原因导致项目参与、开评标过程中出现问题由供应商自行承担负责。</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7.本项目不收取投标保证金，不收取质量保证金。</w:t>
      </w:r>
      <w:r/>
    </w:p>
    <w:p>
      <w:pPr>
        <w:pStyle w:val="764"/>
        <w:ind w:left="0"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t xml:space="preserve">八、凡对本次采购提出询问，请按以下方式联系。</w:t>
      </w:r>
      <w:bookmarkEnd w:id="26"/>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采购人信息</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单位名称：盐城农业科技职业学院</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单位地址：盐城市青年东路-学府路1号</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联系人：王主任</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联系电话：88878569</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2.采购代理机构信息（如有）</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单位名称：江苏仁禾中衡工程咨询房地产估价有限公司</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单位地址：盐城农业科技职业学院科技楼203室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联系人：汤工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联系电话：13814371448</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3.项目联系方式</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项目联系人：汤工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电话：13814371448</w:t>
      </w:r>
      <w:r/>
    </w:p>
    <w:p>
      <w:pPr>
        <w:ind w:firstLine="480"/>
        <w:jc w:val="center"/>
        <w:spacing w:line="360" w:lineRule="auto"/>
        <w:rPr>
          <w:rFonts w:hint="eastAsia" w:ascii="宋体" w:hAnsi="宋体"/>
          <w:color w:val="000000" w:themeColor="text1"/>
          <w:sz w:val="48"/>
          <w:szCs w:val="48"/>
          <w:highlight w:val="none"/>
          <w14:textFill>
            <w14:solidFill>
              <w14:schemeClr w14:val="tx1"/>
            </w14:solidFill>
          </w14:textFill>
        </w:rPr>
      </w:pPr>
      <w:r>
        <w:rPr>
          <w:rFonts w:hint="eastAsia" w:ascii="宋体" w:hAnsi="宋体"/>
          <w:color w:val="000000" w:themeColor="text1"/>
          <w:sz w:val="48"/>
          <w:szCs w:val="48"/>
          <w:highlight w:val="none"/>
          <w14:textFill>
            <w14:solidFill>
              <w14:schemeClr w14:val="tx1"/>
            </w14:solidFill>
          </w14:textFill>
        </w:rPr>
      </w:r>
      <w:r/>
    </w:p>
    <w:p>
      <w:pPr>
        <w:ind w:left="0" w:right="0" w:firstLine="0"/>
        <w:jc w:val="center"/>
        <w:spacing w:before="0" w:after="0"/>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0"/>
          <w:highlight w:val="none"/>
          <w14:textFill>
            <w14:solidFill>
              <w14:schemeClr w14:val="tx1"/>
            </w14:solidFill>
          </w14:textFill>
        </w:rPr>
        <w:t xml:space="preserve">因系统原因，如招标文件中本部分的格式与“苏采云”系统中的不一致，以“苏采云”系统中的格式为准</w:t>
      </w:r>
      <w:r/>
    </w:p>
    <w:p>
      <w:pPr>
        <w:pStyle w:val="796"/>
        <w:ind w:firstLine="480"/>
        <w:jc w:val="both"/>
        <w:spacing w:beforeAutospacing="0" w:afterAutospacing="0" w:line="0" w:lineRule="atLeast"/>
        <w:tabs>
          <w:tab w:val="left" w:pos="901" w:leader="none"/>
        </w:tabs>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796"/>
        <w:ind w:right="84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p>
      <w:pPr>
        <w:pStyle w:val="796"/>
        <w:jc w:val="center"/>
        <w:keepLines/>
        <w:keepNext/>
        <w:spacing w:before="260" w:beforeAutospacing="0" w:after="260" w:afterAutospacing="0" w:line="415" w:lineRule="auto"/>
        <w:widowControl w:val="off"/>
        <w:rPr>
          <w:color w:val="000000" w:themeColor="text1"/>
          <w:highlight w:val="none"/>
          <w:shd w:val="clear" w:color="auto" w:fill="auto"/>
          <w14:textFill>
            <w14:solidFill>
              <w14:schemeClr w14:val="tx1"/>
            </w14:solidFill>
          </w14:textFill>
        </w:rPr>
      </w:pPr>
      <w:r>
        <w:rPr>
          <w:rFonts w:eastAsia="黑体"/>
          <w:color w:val="000000" w:themeColor="text1"/>
          <w:sz w:val="36"/>
          <w:szCs w:val="36"/>
          <w:highlight w:val="none"/>
          <w:shd w:val="clear" w:color="auto" w:fill="auto"/>
          <w14:textFill>
            <w14:solidFill>
              <w14:schemeClr w14:val="tx1"/>
            </w14:solidFill>
          </w14:textFill>
        </w:rPr>
        <w:br w:type="page" w:clear="all"/>
      </w:r>
      <w:bookmarkStart w:id="27" w:name="_Toc120614211"/>
      <w:r>
        <w:rPr>
          <w:rFonts w:hint="eastAsia" w:ascii="黑体" w:eastAsia="黑体" w:cs="黑体"/>
          <w:b/>
          <w:color w:val="000000" w:themeColor="text1"/>
          <w:sz w:val="44"/>
          <w:szCs w:val="44"/>
          <w:highlight w:val="none"/>
          <w:shd w:val="clear" w:color="auto" w:fill="auto"/>
          <w14:textFill>
            <w14:solidFill>
              <w14:schemeClr w14:val="tx1"/>
            </w14:solidFill>
          </w14:textFill>
        </w:rPr>
        <w:t xml:space="preserve">第二章  </w:t>
      </w:r>
      <w:bookmarkEnd w:id="27"/>
      <w:r>
        <w:rPr>
          <w:rFonts w:hint="eastAsia" w:ascii="黑体" w:eastAsia="黑体" w:cs="黑体"/>
          <w:b/>
          <w:color w:val="000000" w:themeColor="text1"/>
          <w:sz w:val="44"/>
          <w:szCs w:val="44"/>
          <w:highlight w:val="none"/>
          <w:shd w:val="clear" w:color="auto" w:fill="auto"/>
          <w14:textFill>
            <w14:solidFill>
              <w14:schemeClr w14:val="tx1"/>
            </w14:solidFill>
          </w14:textFill>
        </w:rPr>
        <w:t xml:space="preserve">供应商须知</w:t>
      </w:r>
      <w:r/>
    </w:p>
    <w:p>
      <w:pPr>
        <w:pStyle w:val="796"/>
        <w:ind w:firstLine="498"/>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_Toc513029203"/>
      <w:r/>
      <w:bookmarkStart w:id="29" w:name="_Toc20823275"/>
      <w:r/>
      <w:bookmarkStart w:id="30" w:name="_Toc120614214"/>
      <w:r/>
      <w:bookmarkStart w:id="31" w:name="_Toc16938519"/>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一、总则</w:t>
      </w:r>
      <w:bookmarkEnd w:id="28"/>
      <w:r/>
      <w:bookmarkEnd w:id="29"/>
      <w:r/>
      <w:bookmarkEnd w:id="30"/>
      <w:r/>
      <w:bookmarkEnd w:id="3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32" w:name="_Toc20823276"/>
      <w:r/>
      <w:bookmarkStart w:id="33" w:name="_Toc16938520"/>
      <w:r/>
      <w:bookmarkStart w:id="34" w:name="_Toc458694821"/>
      <w:r/>
      <w:bookmarkStart w:id="35" w:name="_Toc513029204"/>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w:t>
      </w:r>
      <w:bookmarkEnd w:id="32"/>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、采购方式</w:t>
      </w:r>
      <w:bookmarkEnd w:id="33"/>
      <w:r/>
      <w:bookmarkEnd w:id="34"/>
      <w:r/>
      <w:bookmarkEnd w:id="3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1.1 本次政府采购活动采取竞争性询价(以下简称询价)方式，本询价文件仅适用于询价公告中所述项目。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36" w:name="_Toc16938521"/>
      <w:r/>
      <w:bookmarkStart w:id="37" w:name="_Toc513029205"/>
      <w:r/>
      <w:bookmarkStart w:id="38" w:name="_Toc20823277"/>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2、合格的</w:t>
      </w:r>
      <w:bookmarkEnd w:id="36"/>
      <w:r/>
      <w:bookmarkEnd w:id="37"/>
      <w:r/>
      <w:bookmarkEnd w:id="3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供应商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2.1满足询价公告中供应商资格要求的规定。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2.2 满足本询价文件实质性要求和条件的规定。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39" w:name="_Toc16938522"/>
      <w:r/>
      <w:bookmarkStart w:id="40" w:name="_Toc20823278"/>
      <w:r/>
      <w:bookmarkStart w:id="41" w:name="_Toc513029206"/>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3、适用法律</w:t>
      </w:r>
      <w:bookmarkEnd w:id="39"/>
      <w:r/>
      <w:bookmarkEnd w:id="40"/>
      <w:r/>
      <w:bookmarkEnd w:id="4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 本次询价及由此产生的合同受中华人民共和国有关的法律法规制约和保护。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42" w:name="_Toc513029207"/>
      <w:r/>
      <w:bookmarkStart w:id="43" w:name="_Toc20823279"/>
      <w:r/>
      <w:bookmarkStart w:id="44" w:name="_Toc462564067"/>
      <w:r/>
      <w:bookmarkStart w:id="45" w:name="_Toc16938523"/>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4、询价费用</w:t>
      </w:r>
      <w:bookmarkEnd w:id="42"/>
      <w:r/>
      <w:bookmarkEnd w:id="43"/>
      <w:r/>
      <w:bookmarkEnd w:id="44"/>
      <w:r/>
      <w:bookmarkEnd w:id="4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4.1供应商应自行承担所有与参加本次询价有关的费用，无论询价过程中的做法和结果如何，</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采购代理机构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（以下简称</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本项目代理机构按项目中标金额的下列比例收取代理服务费，按标段分别支付，中标金额的100万及以下部分费率为0.825%，100万（以上）至500万（含500万）部分费率为0.605%，500万（以上）至1000万（含1000万）部分费率为0.440%，少于2000元的以2000元收取。上述费用由中标人在签订合同前向代理公司缴纳，该费用在报价清单中不单列,投标人投标时自行将上述费用考虑进投标报价中。</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4.2本次询价</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和采购人不收取标书工本费。</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5、询价文件的约束力</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5.1供应商一旦参加本项目采购活动，即被认为接受了本询价文件的规定和约束。</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46" w:name="_Toc513029209"/>
      <w:r/>
      <w:bookmarkStart w:id="47" w:name="_Toc20823281"/>
      <w:r/>
      <w:bookmarkStart w:id="48" w:name="_Toc120614215"/>
      <w:r/>
      <w:bookmarkStart w:id="49" w:name="_Toc16938525"/>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二、</w:t>
      </w:r>
      <w:bookmarkEnd w:id="46"/>
      <w:r/>
      <w:bookmarkEnd w:id="47"/>
      <w:r/>
      <w:bookmarkEnd w:id="48"/>
      <w:r/>
      <w:bookmarkEnd w:id="49"/>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询价文件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50" w:name="_Toc20823282"/>
      <w:r/>
      <w:bookmarkStart w:id="51" w:name="_Toc513029210"/>
      <w:r/>
      <w:bookmarkStart w:id="52" w:name="_Toc16938526"/>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6、询价文件构成</w:t>
      </w:r>
      <w:bookmarkEnd w:id="50"/>
      <w:r/>
      <w:bookmarkEnd w:id="51"/>
      <w:r/>
      <w:bookmarkEnd w:id="52"/>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6.1询价文件由以下部分组成：</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（1）询价</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公告</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（2）供应商须知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（3）合同文本</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（4）采购需求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（5）响应文件格式</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请仔细检查询价文件是否齐全，如有缺漏请立即与</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联系解决。</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53" w:name="_Toc20823283"/>
      <w:r/>
      <w:bookmarkStart w:id="54" w:name="_Toc513029211"/>
      <w:r/>
      <w:bookmarkStart w:id="55" w:name="_Toc16938527"/>
      <w:r/>
      <w:bookmarkStart w:id="56" w:name="_Toc462564070"/>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7、询价文件的澄清</w:t>
      </w:r>
      <w:bookmarkEnd w:id="53"/>
      <w:r/>
      <w:bookmarkEnd w:id="54"/>
      <w:r/>
      <w:bookmarkEnd w:id="55"/>
      <w:r/>
      <w:bookmarkEnd w:id="56"/>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7.1 任何要求对询价文件进行澄清的供应商，应在询价截止期3个工作日前按询价公告中的通讯地址，以书面形式通知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57" w:name="_Toc16938528"/>
      <w:r/>
      <w:bookmarkStart w:id="58" w:name="_Toc513029212"/>
      <w:r/>
      <w:bookmarkStart w:id="59" w:name="_Toc20823284"/>
      <w:r/>
      <w:bookmarkStart w:id="60" w:name="_Toc462564071"/>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8、询价文件的澄清和修改</w:t>
      </w:r>
      <w:bookmarkEnd w:id="57"/>
      <w:r/>
      <w:bookmarkEnd w:id="58"/>
      <w:r/>
      <w:bookmarkEnd w:id="59"/>
      <w:r/>
      <w:bookmarkEnd w:id="60"/>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8.1 在响应文件提交截止时间前，</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可以对询价文件进行澄清和修改, 澄清或者修改的内容作为询价文件的组成部分。澄清或者修改的内容可能影响响应文件编制的，</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将在提交首次响应文件截止时间至少3个工作日前，在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上发布书面更正公告形式通知所有获取询价文件的供应商, 更正公告内容将作为询价文件的组成部分，并对供应商具有约束力。不足3个工作日的，</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将顺延提交首次响应文件截止时间。</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8.2</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可以视采购项目的具体情况，组织供应商进行现场考察或召开询价前答疑会，但不单独或分别组织只有一个供应商参加的现场考察和答疑会。</w:t>
      </w:r>
      <w:r/>
    </w:p>
    <w:p>
      <w:pPr>
        <w:pStyle w:val="796"/>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1" w:name="_Toc20823285"/>
      <w:r/>
      <w:bookmarkStart w:id="62" w:name="_Toc462564072"/>
      <w:r/>
      <w:bookmarkStart w:id="63" w:name="_Toc16938529"/>
      <w:r/>
      <w:bookmarkStart w:id="64" w:name="_Toc513029213"/>
      <w:r/>
      <w:bookmarkStart w:id="65" w:name="_Toc120614216"/>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三、响应文件的编制</w:t>
      </w:r>
      <w:bookmarkEnd w:id="61"/>
      <w:r/>
      <w:bookmarkEnd w:id="62"/>
      <w:r/>
      <w:bookmarkEnd w:id="63"/>
      <w:r/>
      <w:bookmarkEnd w:id="64"/>
      <w:r/>
      <w:bookmarkEnd w:id="6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66" w:name="_Toc16938530"/>
      <w:r/>
      <w:bookmarkStart w:id="67" w:name="_Toc20823286"/>
      <w:r/>
      <w:bookmarkStart w:id="68" w:name="_Toc462564073"/>
      <w:r/>
      <w:bookmarkStart w:id="69" w:name="_Toc513029214"/>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9、响应文件的语言及度量衡单位</w:t>
      </w:r>
      <w:bookmarkEnd w:id="66"/>
      <w:r/>
      <w:bookmarkEnd w:id="67"/>
      <w:r/>
      <w:bookmarkEnd w:id="68"/>
      <w:r/>
      <w:bookmarkEnd w:id="69"/>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9.1供应商提交的响应文件以及供应商与</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就有关询价的所有来往通知、函件和文件均应使用简体中文。</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9.2 除技术性能另有规定外，响应文件所使用的度量衡单位，均须采用国家法定计量单位。</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70" w:name="_Toc462564074"/>
      <w:r/>
      <w:bookmarkStart w:id="71" w:name="_Toc20823287"/>
      <w:r/>
      <w:bookmarkStart w:id="72" w:name="_Toc16938531"/>
      <w:r/>
      <w:bookmarkStart w:id="73" w:name="_Toc513029215"/>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10、响应文件构成</w:t>
      </w:r>
      <w:bookmarkEnd w:id="70"/>
      <w:r/>
      <w:bookmarkEnd w:id="71"/>
      <w:r/>
      <w:bookmarkEnd w:id="72"/>
      <w:r/>
      <w:bookmarkEnd w:id="73"/>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10.1供应商编写的响应文件应包括资格证明文件、符合性证明文件、分项报价表、技术要求响应及偏离表、商务要求响应及偏离表、其他证明文件、询价响应函等部分。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发布的询价文件不一致，请以</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布的询价文件为准。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74" w:name="_Toc14577354"/>
      <w:r/>
      <w:bookmarkStart w:id="75" w:name="_Toc49090508"/>
      <w:r/>
      <w:bookmarkStart w:id="76" w:name="_Toc513029216"/>
      <w:r/>
      <w:bookmarkStart w:id="77" w:name="_Toc14577355"/>
      <w:r/>
      <w:bookmarkStart w:id="78" w:name="_Toc49090507"/>
      <w:r/>
      <w:bookmarkStart w:id="79" w:name="_Toc14577357"/>
      <w:r/>
      <w:bookmarkStart w:id="80" w:name="_Toc49090509"/>
      <w:r/>
      <w:bookmarkStart w:id="81" w:name="_Toc513029219"/>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11、证明询价响应标的符合询价文件规定的文件</w:t>
      </w:r>
      <w:bookmarkEnd w:id="74"/>
      <w:r/>
      <w:bookmarkEnd w:id="75"/>
      <w:r/>
      <w:bookmarkEnd w:id="76"/>
      <w:r/>
      <w:bookmarkEnd w:id="77"/>
      <w:r/>
      <w:bookmarkEnd w:id="78"/>
      <w:r/>
      <w:bookmarkEnd w:id="79"/>
      <w:r/>
      <w:bookmarkEnd w:id="80"/>
      <w:r/>
      <w:bookmarkEnd w:id="8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11.1供应商应按照询价文件要求提交证明文件，证明其及询价响应标的符合询价文件规定。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11.2询价文件对证明文件无明确形式要求的，证明文件可以以文字资料、图纸和数据等形式提交。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12、分项报价表</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12.1供应商应按照询价文件规定格式填报分项报价表。</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12.2询价货币。响应文件中的单价和总价无特殊规定的采用人民币报价，以元为单位标注。询价文件中另有规定的按规定执行。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13、技术要求响应及偏离表、商务要求响应及偏离表</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13.1供应商需对询价文件中的技术要求与商务要求逐项作出响应或偏离，并说明原因。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13.2供应商可在响应文件中提供认为需要的其他技术文件或说明。</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14、服务承诺、培训计划、人员安排及其他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14.1供应商需根据询价文件要求提供有关售后服务的管理制度，售后服务机构的分布情况，售后服务人员的数量、素质、技术水平及售后服务的反应能力等。</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14.2供应商需根据询价文件要求提供培训计划。</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14.3供应商需根据询价文件要求提供询价响应标的的主要组成部分、功能设计、实现思路及关键技术等。</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82" w:name="_Toc14577359"/>
      <w:r/>
      <w:bookmarkStart w:id="83" w:name="_Toc49090510"/>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15、询价响应函</w:t>
      </w:r>
      <w:bookmarkEnd w:id="82"/>
      <w:r/>
      <w:bookmarkEnd w:id="83"/>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15.1供应商应按照询价文件中提供的格式完整、正确填写询价响应函。</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84" w:name="_Toc14577360"/>
      <w:r/>
      <w:bookmarkStart w:id="85" w:name="_Toc49090511"/>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16、询价有效期</w:t>
      </w:r>
      <w:bookmarkEnd w:id="84"/>
      <w:r/>
      <w:bookmarkEnd w:id="8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16.1询价有效期为</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规定的提交响应文件截止之日后</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0）天。询价有效期比规定短的将被视为非实质性响应询价文件而予以拒绝。</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17、询价有效期的延长</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17.1在特殊情况下，</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于原询价有效期满之前，可向供应商提出延长询价有效期的要求。这种要求与答复均应采用书面形式。供应商可以拒绝</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的这一要求而放弃询价，同意延长询价有效期的供应商既不能要求也不允许修改其响应文件。受询价有效期约束的所有权利与义务均延长至新的有效期。</w:t>
      </w:r>
      <w:r/>
    </w:p>
    <w:p>
      <w:pPr>
        <w:pStyle w:val="796"/>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86" w:name="_Toc16938540"/>
      <w:r/>
      <w:bookmarkStart w:id="87" w:name="_Toc20823296"/>
      <w:r/>
      <w:bookmarkStart w:id="88" w:name="_Toc513029224"/>
      <w:r/>
      <w:bookmarkStart w:id="89" w:name="_Toc120614217"/>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四、响应文件的递交</w:t>
      </w:r>
      <w:bookmarkEnd w:id="86"/>
      <w:r/>
      <w:bookmarkEnd w:id="87"/>
      <w:r/>
      <w:bookmarkEnd w:id="88"/>
      <w:r/>
      <w:bookmarkEnd w:id="89"/>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90" w:name="_Toc16938541"/>
      <w:r/>
      <w:bookmarkStart w:id="91" w:name="_Toc462564084"/>
      <w:r/>
      <w:bookmarkStart w:id="92" w:name="_Toc20823297"/>
      <w:r/>
      <w:bookmarkStart w:id="93" w:name="_Toc513029225"/>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18、电子</w:t>
      </w:r>
      <w:bookmarkEnd w:id="90"/>
      <w:r/>
      <w:bookmarkEnd w:id="91"/>
      <w:r/>
      <w:bookmarkEnd w:id="92"/>
      <w:r/>
      <w:bookmarkEnd w:id="93"/>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询价响应文件的递交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18.1供应商应当按照《操作手册》规定，在提交响应文件截止时间前制作并上传电子响应文件。</w:t>
      </w:r>
      <w:bookmarkStart w:id="94" w:name="_Toc16938542"/>
      <w:r/>
      <w:bookmarkEnd w:id="94"/>
      <w:r/>
      <w:bookmarkStart w:id="95" w:name="_Toc20823298"/>
      <w:r/>
      <w:bookmarkEnd w:id="9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19、提交响应文件截止时间</w:t>
      </w:r>
      <w:r/>
    </w:p>
    <w:p>
      <w:pPr>
        <w:pStyle w:val="796"/>
        <w:ind w:firstLine="480"/>
        <w:jc w:val="both"/>
        <w:spacing w:before="0" w:beforeAutospacing="0" w:after="0" w:afterAutospacing="0" w:line="0" w:lineRule="atLeas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19.1供应商上传电子响应文件的时间不得迟于询价公告中规定的提交响应文件截止时间。</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供应商应充分考虑到网络环境、网络带宽等风险因素，如因供应商自身原因造成的电子响应文件上传不成功的按照本询价文件第二章第26.3.2条规定做无效响应处理。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19.2 </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可以按照规定，通过修改询价文件酌情延长提交响应文件截止日期，在此情况下，供应商的所有权利和义务以及供应商受制的截止日期均应以延长后新的截止日期为准。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96" w:name="_Toc16938543"/>
      <w:r/>
      <w:bookmarkStart w:id="97" w:name="_Toc513029227"/>
      <w:r/>
      <w:bookmarkStart w:id="98" w:name="_Toc20823299"/>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20、响应文件</w:t>
      </w:r>
      <w:bookmarkEnd w:id="96"/>
      <w:r/>
      <w:bookmarkEnd w:id="97"/>
      <w:r/>
      <w:bookmarkEnd w:id="9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的拒收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20.1 </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拒绝接收在其规定的提交响应文件截止时间后上传的任何电子响应文件。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99" w:name="_Toc20823300"/>
      <w:r/>
      <w:bookmarkStart w:id="100" w:name="_Toc16938544"/>
      <w:r/>
      <w:bookmarkStart w:id="101" w:name="_Toc51302922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21、响应文件的撤回和修改</w:t>
      </w:r>
      <w:bookmarkEnd w:id="99"/>
      <w:r/>
      <w:bookmarkEnd w:id="100"/>
      <w:r/>
      <w:bookmarkEnd w:id="10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21.1响应文件的撤回</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21.1.1 电子响应文件的撤回</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供应商可在提交响应文件截止时间前，撤回其电子响应文件，具体操作方法见《操作手册》。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21.1.2供应商撤回电子响应文件，则认为其不再参与本项目询价活动。</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21.2响应文件的修改</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供应商可在提交响应文件截止时间前，对其电子响应文件进行修改，具体操作方法见《操作手册》。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21.3 在提交响应文件截止时间之后，供应商不得对其电子响应文件作任何修改。</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21.4 在提交响应文件截止时间至询价文件中规定的询价有效期满之间的这段时间内，供应商不得撤回其响应文件。</w:t>
      </w:r>
      <w:r/>
    </w:p>
    <w:p>
      <w:pPr>
        <w:pStyle w:val="796"/>
        <w:ind w:firstLine="482"/>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02" w:name="_Toc20823301"/>
      <w:r/>
      <w:bookmarkStart w:id="103" w:name="_Toc513029229"/>
      <w:r/>
      <w:bookmarkStart w:id="104" w:name="_Toc120614218"/>
      <w:r/>
      <w:bookmarkStart w:id="105" w:name="_Toc16938545"/>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五、响应文件的解密与评审</w:t>
      </w:r>
      <w:bookmarkEnd w:id="102"/>
      <w:r/>
      <w:bookmarkEnd w:id="103"/>
      <w:r/>
      <w:bookmarkEnd w:id="104"/>
      <w:r/>
      <w:bookmarkEnd w:id="10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06" w:name="_Toc513029230"/>
      <w:r/>
      <w:bookmarkStart w:id="107" w:name="_Toc20823302"/>
      <w:r/>
      <w:bookmarkStart w:id="108" w:name="_Toc16938546"/>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22、</w:t>
      </w:r>
      <w:bookmarkEnd w:id="106"/>
      <w:r/>
      <w:bookmarkEnd w:id="107"/>
      <w:r/>
      <w:bookmarkEnd w:id="10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响应文件解密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22.1供应商应当按照《操作手册》规定，在苏采云系统规定的时间内对询价响应文件进行解密。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09" w:name="_Toc513029231"/>
      <w:r/>
      <w:bookmarkStart w:id="110" w:name="_Toc20823303"/>
      <w:r/>
      <w:bookmarkStart w:id="111" w:name="_Toc16938547"/>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23、询价小组</w:t>
      </w:r>
      <w:bookmarkEnd w:id="109"/>
      <w:r/>
      <w:bookmarkEnd w:id="110"/>
      <w:r/>
      <w:bookmarkEnd w:id="11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23.1</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将组织询价小组对响应文件进行评审。询价小组由采购人代表和有关技术、经济等方面的专家组成，且人员构成符合政府采购有关规定。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23.2询价小组独立工作，负责评审所有响应文件并确定成交</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候选人</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24、评审过程的保密与公正</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24.1询价小组、采购人和</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工作人员、相关监督人员等与评审工作有关的人员，对评审情况以及在评审过程中获悉的国家秘密、商业秘密负有保密责任。</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24.2在评审过程中，供应商不得以任何行为影响询价评审过程，否则其响应文件将被作为无效响应文件。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24.3在项目评审期间，</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将设专门人员与供应商联系。</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24.4 </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和询价小组不向未成交的供应商解释未成交原因，也不公布评审过程中的相关细节。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12" w:name="_Toc16938548"/>
      <w:r/>
      <w:bookmarkStart w:id="113" w:name="_Toc20823304"/>
      <w:r/>
      <w:bookmarkStart w:id="114" w:name="_Toc513029232"/>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25、评审过程中</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澄清</w:t>
      </w:r>
      <w:bookmarkEnd w:id="112"/>
      <w:r/>
      <w:bookmarkEnd w:id="113"/>
      <w:r/>
      <w:bookmarkEnd w:id="114"/>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询价小组并非对每个供应商都作澄清要求。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25.3 接到询价小组澄清、说明和更正要求的供应商如未按规定</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澄清、说明和 更正，其风险由供应商自行承担。</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15" w:name="_Toc16938549"/>
      <w:r/>
      <w:bookmarkStart w:id="116" w:name="_Toc20823305"/>
      <w:r/>
      <w:bookmarkStart w:id="117" w:name="_Toc513029233"/>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26、对响应文件的审</w:t>
      </w:r>
      <w:bookmarkEnd w:id="115"/>
      <w:r/>
      <w:bookmarkEnd w:id="116"/>
      <w:r/>
      <w:bookmarkEnd w:id="117"/>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26.1响应文件审查分为资格审查和符合性审查。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26.1.1 资格审查：由询价小组依据法律法规和询价文件的规定，对响应文件中的资格证明文件进行审查，以确定供应商是否具备参加询价的资格。</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询价小组在进行资格审查的同时，将在“信用中国”网站（www.creditchina.gov.cn）查询供应商的信用记录，以确定供应商是否具备询价资格,查询结果留存并归档。</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26.1.2 符合性审查：依据询价文件的规定，由询价小组从响应文件的有效性、完整性和对询价文件的响应程度进行审查，以确定是否对询价文件的实质性要求作出响应。</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所谓重大偏离或保留是指与询价文件规定的实质性要求存在负偏离，或者在实质上与询价文件不一致，而且限制了合同中买方和</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26.3未实质性响应询价文件的情形</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26.3.1供应商在苏采云系统规定的时间内未成功解密电子响应文件的。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26.3.2供应商未按照询价文件要求上传电子响应文件的。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26.3.3同一供应商提交两个（含两个）以上不同的响应文件或者报价的。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26.3.4供应商不具备询价文件中规定资格要求的。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26.3.5供应商的报价超过了采购预算。</w:t>
      </w:r>
      <w:r/>
    </w:p>
    <w:p>
      <w:pPr>
        <w:pStyle w:val="796"/>
        <w:ind w:firstLine="480"/>
        <w:jc w:val="both"/>
        <w:spacing w:before="0" w:beforeAutospacing="0" w:after="0" w:afterAutospacing="0" w:line="0" w:lineRule="atLeas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26.3.6不符合询价文件中规定的实质性要求和条件的</w:t>
      </w: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（本询价文件中斜体且有下划线部分为实质性要求和条件）。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26.3.8响应文件含有采购人不能接受的附加条件的。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26.3.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不能证明其报价合理性的，</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询价小组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应当将其作为无效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处理。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（一）评审过程中出现下列情形之一的，询价小组应当启动异常低价响应审查程序：</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1.响应报价低于采购项目预算50%的，即响应报价&lt;采购项目预算×50%；</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2.响应报价低于采购项目最高限价45%的，即响应报价&lt;采购项目最高限价×45%；</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3.询价小组认定的供应商报价过低、有可能影响产品质量或者不能诚信履约的其他情形。</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响应文件未按照询价文件要求加盖CA电子公章的。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26.4未实质性响应询价文件的响应文件按无效响应处理。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26.5如果响应文件实质上没有响应询价文件的要求，询价小组将予以拒绝，供应商不得通过修改或撤销</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不符</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合要求的偏离或保留而使其成为实质性响应的文件。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18" w:name="_Toc513029234"/>
      <w:r/>
      <w:bookmarkStart w:id="119" w:name="_Toc20823306"/>
      <w:r/>
      <w:bookmarkStart w:id="120" w:name="_Toc16938550"/>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26.6供应商在项目评审全过程中应</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保持通信畅通</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，并安排专人与</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及询价小组联系。</w:t>
      </w:r>
      <w:bookmarkEnd w:id="118"/>
      <w:r/>
      <w:bookmarkEnd w:id="119"/>
      <w:r/>
      <w:bookmarkEnd w:id="120"/>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27、询价程序及成交原则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27.1询价程序</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27.2 成交原则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27.2.1询价小组将从质量和服务均能满足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文件实质性响应要求的供应商中，按照报价由低到高顺序推荐3名成交候选供应商，并编写评审报告。</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27.2.3 供应商的报价如相同，则优先采购 “环境标志产品”或“节能产品”；若均非“环境标志产品</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国家发展改革委</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最新公布的《节能产品品目清单》内的产品。</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27.2.4 采购人确定成交供应商后，</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将在</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发布成交结果公告，公告期限为1个工作日。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采购活动终止的情况</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出现下列情形之一的，本次竞争性询价采购活动将被终止：</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.1因情况变化，不再符合规定的询价采购方式适用情形的。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.2出现影响采购公正的违法、违规行为的。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.3在采购过程中符合要求的供应商或者报价未超过采购预算的供应商不足3家的。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27.</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在苏采云系统规定时间内成功解密电子响应文件的供应商不足3家的。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28、成交供应商被取消成交资格情形</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若有充分证据证明，成交供应商出现下列情况之一的，一经查实，将被取消成交资格：</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28.1提供虚假材料谋取成交的。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28.2与评审专家、采购人、其他供应商或者</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工作人员恶意串通的。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28.3向评审专家、采购人或</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工作人员行贿或者提供其他不正当利益的。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28.4恶意竞争，报价明显低于其自身合理成本且又无法提供证明的。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28.5不满足本询价文件规定的实质性要求，但在评审过程中又未被询价小组发现的。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28.6成交后无正当理由拒不与采购人签订政府采购合同或者未按照询价文件确定的事项签订政府采购合同的。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28.7将政府采购合同转包的。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21" w:name="_Toc200451960"/>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29、质疑处理</w:t>
      </w:r>
      <w:bookmarkEnd w:id="12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文件的，可以对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文件提出质疑。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29.2供应商认为</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过程和</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结果使自己的权益受到损害的，可以在知道或应知其权益受到损害之日起七个工作日内，以书面形式根据下述29.4条款的规定向</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或采购人提出质疑。上述应知其权益受到损害之日，是指：</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29.2.1对可以质疑的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文件提出质疑的，为收到</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文件之日或者采购</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公告期限届满之日。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29.2.2对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过程提出质疑的，为各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程序环节结束之日。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29.2.3对成交结果提出质疑的，为成交结果公告期限届满之日。</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、采购人将只对供应商第一次质疑作出答复。</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提出，由</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负责答复。</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采购人及代理机构只接收以纸质原件形式送达的质疑,采购人和代理机构不接受未填写快递运单的快件。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 以下情形的质疑不予受理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29.5.1 内容不符合《政府采购质疑和投诉办法》第十二条规定的质疑。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29.5.2 超出政府采购法定期限的质疑。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29.5.3 以传真、电子邮件等方式递交的非原件形式的质疑。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29.5.4 未参加询价活动的供应商或在询价活动中自身权益未受到损害的供应商所提出的质疑。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29.5.5供应商组成联合体参加询价，联合体中任何一方或多方未按要求签字、盖章、加盖公章的质疑。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29.6  供应商提出书面质疑必须有理、有据，不得捏造事实、提供虚假材料进行恶意质疑。否则，一经查实，</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有权依据政府采购的有关规定，报请政府采购监管部门对该供应商进行相应的行政处罚和记录该供应商的失信信息。</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30、成交通知书</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30.1成交结果确定后，</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代理机构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96"/>
        <w:jc w:val="both"/>
        <w:keepLines/>
        <w:keepNext/>
        <w:spacing w:before="145" w:beforeAutospacing="0" w:after="145"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2" w:name="_Toc120614220"/>
      <w:r/>
      <w:bookmarkStart w:id="123" w:name="_Toc20823308"/>
      <w:r/>
      <w:bookmarkStart w:id="124" w:name="_Toc16938552"/>
      <w:r/>
      <w:bookmarkStart w:id="125" w:name="_Toc513029236"/>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七、授予合同</w:t>
      </w:r>
      <w:bookmarkEnd w:id="122"/>
      <w:r/>
      <w:bookmarkEnd w:id="123"/>
      <w:r/>
      <w:bookmarkEnd w:id="124"/>
      <w:r/>
      <w:bookmarkEnd w:id="125"/>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bookmarkStart w:id="126" w:name="_Toc16938553"/>
      <w:r/>
      <w:bookmarkStart w:id="127" w:name="_Toc513029237"/>
      <w:r/>
      <w:bookmarkStart w:id="128" w:name="_Toc20823309"/>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 签订合同</w:t>
      </w:r>
      <w:bookmarkEnd w:id="126"/>
      <w:r/>
      <w:bookmarkEnd w:id="127"/>
      <w:r/>
      <w:bookmarkEnd w:id="128"/>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31.l成交供应商应当在成交通知书发出之日起三十日内，按照询价文件确定的事项与采购人签订政府采购合同。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31.2询价文件、成交供应商的响应文件及询价过程中有关澄清、承诺文件均应作为合同附件。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31.3 签订合同后，</w:t>
      </w:r>
      <w:r>
        <w:rPr>
          <w:rFonts w:hint="eastAsia" w:ascii="宋体" w:hAnsi="宋体" w:eastAsia="宋体" w:cs="宋体"/>
          <w:i w:val="0"/>
          <w:iCs w:val="0"/>
          <w:caps w:val="0"/>
          <w:color w:val="000000" w:themeColor="text1"/>
          <w:spacing w:val="0"/>
          <w:sz w:val="24"/>
          <w:szCs w:val="24"/>
          <w:highlight w:val="none"/>
          <w:u w:val="none"/>
          <w:shd w:val="clear" w:color="auto" w:fill="auto"/>
          <w14:textFill>
            <w14:solidFill>
              <w14:schemeClr w14:val="tx1"/>
            </w14:solidFill>
          </w14:textFill>
        </w:rPr>
        <w:t xml:space="preserve">成交供应商不得将合同标的进行转包</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32、标的物的追加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33.政府采购政策功能落实</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33.1</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政府采购</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线上合同信用融资</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政策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江苏省</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33.2进口产品</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进口产品</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33.3中小企业、监狱企业及残疾人福利性单位</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.3.1中小企业定义：</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.3.2供应商提供的货物、工程或者服务符合下列情形的，享受中小企业扶持政策：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.3.2.1在货物采购项目中，货物由中小企业制造，即货物由中小企业生产且使用该中小企业商号或者注册商标；</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.3.2.2在工程采购项目中，工程由中小企业承建，即工程施工单位为中小企业；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.3.3在货物采购项目中，供应商提供的货物既有中小企业制造货物，也有大型企业制造货物的，不享受中小企业扶持政策。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.3.6残疾人福利单位定义：享受政府采购支持政策的残疾人福利性单位应当同时满足以下条件：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.3.6.1安置的残疾人占本单位在职职工人数的比例不低于25%（含25%），并且安置的残疾人人数不少于10 人（含10 人）；</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.3.6.2依法与安置的每位残疾人签订了一年以上（含一年）的劳动合同或服务协议；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.3.6.3为安置的每位残疾人按月足额缴纳了基本养老保险、基本医疗保险、失业保险、工伤保险和生育保险等社会保险费；</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.3.7本项目是否专门面向中小企业预留采购份额见第一章《询价公告》。</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.3.8采购标的对应的中小企业划分标准所属行业见第四章《采购需求》。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.3.9小微企业价格评审优惠的政策：见第五章《评标方法和评标标准》。</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33.4政府采购节能产品、环境标志产品</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shd w:val="clear" w:color="auto" w:fill="auto"/>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其他条件相同情况下，应当优先采购节能产品、环境标志产品。</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33.5绿色包装</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33.6政府采购创新产品</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33.7绿色数据中心政策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33.8履约保证金政策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确需收取履约保证金的，履约保证金的缴纳形式：</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部门备案的第三方信用报告，且信用报告通过“信用盐城网”可查实），降低履约保证金缴纳比例至合同金额的8%。</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34. </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预付款</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制度</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落实</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预付款制度，预付款比例为</w:t>
      </w:r>
      <w:r>
        <w:rPr>
          <w:rFonts w:hint="eastAsia" w:ascii="宋体" w:hAnsi="宋体" w:eastAsia="宋体" w:cs="宋体"/>
          <w:color w:val="000000" w:themeColor="text1"/>
          <w:sz w:val="24"/>
          <w:szCs w:val="24"/>
          <w:highlight w:val="none"/>
          <w:u w:val="single"/>
          <w:shd w:val="clear" w:color="auto" w:fill="auto"/>
          <w:lang w:val="en-US" w:eastAsia="zh-CN" w:bidi="ar-SA"/>
          <w14:textFill>
            <w14:solidFill>
              <w14:schemeClr w14:val="tx1"/>
            </w14:solidFill>
          </w14:textFill>
        </w:rPr>
        <w:t xml:space="preserve">_30__</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967"/>
        <w:ind w:left="0" w:firstLine="560"/>
        <w:spacing w:after="0" w:line="52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360" w:lineRule="auto"/>
        <w:widowControl/>
        <w:rPr>
          <w:rFonts w:ascii="宋体" w:hAnsi="宋体" w:cs="宋体"/>
          <w:b/>
          <w:color w:val="000000" w:themeColor="text1"/>
          <w:sz w:val="40"/>
          <w:szCs w:val="36"/>
          <w:highlight w:val="none"/>
          <w:shd w:val="clear" w:color="auto" w:fill="auto"/>
          <w14:textFill>
            <w14:solidFill>
              <w14:schemeClr w14:val="tx1"/>
            </w14:solidFill>
          </w14:textFill>
        </w:rPr>
      </w:pPr>
      <w:r>
        <w:rPr>
          <w:rFonts w:hint="eastAsia" w:eastAsia="黑体"/>
          <w:color w:val="000000" w:themeColor="text1"/>
          <w:sz w:val="36"/>
          <w:szCs w:val="36"/>
          <w:highlight w:val="none"/>
          <w:shd w:val="clear" w:color="auto" w:fill="auto"/>
          <w14:textFill>
            <w14:solidFill>
              <w14:schemeClr w14:val="tx1"/>
            </w14:solidFill>
          </w14:textFill>
        </w:rPr>
        <w:br w:type="page" w:clear="all"/>
      </w:r>
      <w:bookmarkStart w:id="129" w:name="_Toc479757211"/>
      <w:r/>
      <w:bookmarkStart w:id="130" w:name="_Toc462564139"/>
      <w:r/>
      <w:bookmarkStart w:id="131" w:name="_Toc120614244"/>
      <w:r/>
      <w:bookmarkStart w:id="132" w:name="_Toc20823346"/>
      <w:r/>
      <w:bookmarkStart w:id="133" w:name="_Toc16938590"/>
      <w:r>
        <w:rPr>
          <w:rFonts w:hint="eastAsia" w:ascii="宋体" w:hAnsi="宋体" w:cs="宋体"/>
          <w:b/>
          <w:color w:val="000000" w:themeColor="text1"/>
          <w:sz w:val="40"/>
          <w:szCs w:val="36"/>
          <w:highlight w:val="none"/>
          <w:shd w:val="clear" w:color="auto" w:fill="auto"/>
          <w14:textFill>
            <w14:solidFill>
              <w14:schemeClr w14:val="tx1"/>
            </w14:solidFill>
          </w14:textFill>
        </w:rPr>
        <w:t xml:space="preserve">第三</w:t>
      </w:r>
      <w:r>
        <w:rPr>
          <w:rFonts w:hint="eastAsia" w:ascii="宋体" w:hAnsi="宋体" w:cs="宋体"/>
          <w:b/>
          <w:color w:val="000000" w:themeColor="text1"/>
          <w:sz w:val="40"/>
          <w:szCs w:val="36"/>
          <w:highlight w:val="none"/>
          <w:shd w:val="clear" w:color="auto" w:fill="auto"/>
          <w:lang w:eastAsia="zh-CN"/>
          <w14:textFill>
            <w14:solidFill>
              <w14:schemeClr w14:val="tx1"/>
            </w14:solidFill>
          </w14:textFill>
        </w:rPr>
        <w:t xml:space="preserve">章</w:t>
      </w:r>
      <w:r>
        <w:rPr>
          <w:rFonts w:hint="eastAsia" w:ascii="宋体" w:hAnsi="宋体" w:cs="宋体"/>
          <w:b/>
          <w:color w:val="000000" w:themeColor="text1"/>
          <w:sz w:val="40"/>
          <w:szCs w:val="36"/>
          <w:highlight w:val="none"/>
          <w:shd w:val="clear" w:color="auto" w:fill="auto"/>
          <w14:textFill>
            <w14:solidFill>
              <w14:schemeClr w14:val="tx1"/>
            </w14:solidFill>
          </w14:textFill>
        </w:rPr>
        <w:t xml:space="preserve">  合同条款</w:t>
      </w:r>
      <w:r/>
    </w:p>
    <w:p>
      <w:pPr>
        <w:rPr>
          <w:rFonts w:ascii="宋体" w:hAnsi="宋体" w:cs="宋体"/>
          <w:color w:val="000000" w:themeColor="text1"/>
          <w:highlight w:val="none"/>
          <w:shd w:val="clear" w:color="auto" w:fill="auto"/>
          <w14:textFill>
            <w14:solidFill>
              <w14:schemeClr w14:val="tx1"/>
            </w14:solidFill>
          </w14:textFill>
        </w:rPr>
      </w:pPr>
      <w:r/>
      <w:bookmarkStart w:id="134" w:name="EB6d2006462e294de090c16e672cecc3bd"/>
      <w:r/>
      <w:bookmarkEnd w:id="134"/>
      <w:r/>
      <w:r/>
    </w:p>
    <w:p>
      <w:pPr>
        <w:jc w:val="center"/>
        <w:rPr>
          <w:rFonts w:ascii="宋体" w:hAnsi="宋体" w:cs="宋体"/>
          <w:b/>
          <w:bCs/>
          <w:color w:val="000000" w:themeColor="text1"/>
          <w:spacing w:val="-20"/>
          <w:sz w:val="48"/>
          <w:szCs w:val="48"/>
          <w:highlight w:val="none"/>
          <w:shd w:val="clear" w:color="auto" w:fill="auto"/>
          <w14:textFill>
            <w14:solidFill>
              <w14:schemeClr w14:val="tx1"/>
            </w14:solidFill>
          </w14:textFill>
        </w:rPr>
      </w:pPr>
      <w:r/>
      <w:bookmarkStart w:id="135" w:name="_Toc3995"/>
      <w:r/>
      <w:r/>
    </w:p>
    <w:p>
      <w:pPr>
        <w:jc w:val="center"/>
        <w:rPr>
          <w:rFonts w:ascii="宋体" w:hAnsi="宋体" w:cs="宋体"/>
          <w:b/>
          <w:bCs/>
          <w:color w:val="000000" w:themeColor="text1"/>
          <w:spacing w:val="-20"/>
          <w:sz w:val="48"/>
          <w:szCs w:val="48"/>
          <w:highlight w:val="none"/>
          <w:shd w:val="clear" w:color="auto" w:fill="auto"/>
          <w14:textFill>
            <w14:solidFill>
              <w14:schemeClr w14:val="tx1"/>
            </w14:solidFill>
          </w14:textFill>
        </w:rPr>
      </w:pPr>
      <w:r>
        <w:rPr>
          <w:rFonts w:ascii="宋体" w:hAnsi="宋体" w:cs="宋体"/>
          <w:b/>
          <w:bCs/>
          <w:color w:val="000000" w:themeColor="text1"/>
          <w:spacing w:val="-20"/>
          <w:sz w:val="48"/>
          <w:szCs w:val="48"/>
          <w:highlight w:val="none"/>
          <w:shd w:val="clear" w:color="auto" w:fill="auto"/>
          <w14:textFill>
            <w14:solidFill>
              <w14:schemeClr w14:val="tx1"/>
            </w14:solidFill>
          </w14:textFill>
        </w:rPr>
      </w:r>
      <w:r/>
    </w:p>
    <w:p>
      <w:pPr>
        <w:jc w:val="center"/>
        <w:rPr>
          <w:rFonts w:ascii="宋体" w:hAnsi="宋体" w:cs="宋体"/>
          <w:b/>
          <w:bCs/>
          <w:color w:val="000000" w:themeColor="text1"/>
          <w:spacing w:val="-20"/>
          <w:sz w:val="48"/>
          <w:szCs w:val="48"/>
          <w:highlight w:val="none"/>
          <w:shd w:val="clear" w:color="auto" w:fill="auto"/>
          <w14:textFill>
            <w14:solidFill>
              <w14:schemeClr w14:val="tx1"/>
            </w14:solidFill>
          </w14:textFill>
        </w:rPr>
      </w:pPr>
      <w:r>
        <w:rPr>
          <w:rFonts w:ascii="宋体" w:hAnsi="宋体" w:cs="宋体"/>
          <w:b/>
          <w:bCs/>
          <w:color w:val="000000" w:themeColor="text1"/>
          <w:spacing w:val="-20"/>
          <w:sz w:val="48"/>
          <w:szCs w:val="48"/>
          <w:highlight w:val="none"/>
          <w:shd w:val="clear" w:color="auto" w:fill="auto"/>
          <w14:textFill>
            <w14:solidFill>
              <w14:schemeClr w14:val="tx1"/>
            </w14:solidFill>
          </w14:textFill>
        </w:rPr>
      </w:r>
      <w:r/>
    </w:p>
    <w:p>
      <w:pPr>
        <w:jc w:val="center"/>
        <w:rPr>
          <w:rFonts w:ascii="宋体" w:hAnsi="宋体" w:cs="宋体"/>
          <w:b/>
          <w:bCs/>
          <w:color w:val="000000" w:themeColor="text1"/>
          <w:spacing w:val="-20"/>
          <w:sz w:val="48"/>
          <w:szCs w:val="48"/>
          <w:highlight w:val="none"/>
          <w:shd w:val="clear" w:color="auto" w:fill="auto"/>
          <w14:textFill>
            <w14:solidFill>
              <w14:schemeClr w14:val="tx1"/>
            </w14:solidFill>
          </w14:textFill>
        </w:rPr>
      </w:pPr>
      <w:r>
        <w:rPr>
          <w:rFonts w:ascii="宋体" w:hAnsi="宋体" w:cs="宋体"/>
          <w:b/>
          <w:bCs/>
          <w:color w:val="000000" w:themeColor="text1"/>
          <w:spacing w:val="-20"/>
          <w:sz w:val="48"/>
          <w:szCs w:val="48"/>
          <w:highlight w:val="none"/>
          <w:shd w:val="clear" w:color="auto" w:fill="auto"/>
          <w14:textFill>
            <w14:solidFill>
              <w14:schemeClr w14:val="tx1"/>
            </w14:solidFill>
          </w14:textFill>
        </w:rPr>
      </w:r>
      <w:r/>
    </w:p>
    <w:p>
      <w:pPr>
        <w:jc w:val="center"/>
        <w:rPr>
          <w:rFonts w:ascii="宋体" w:hAnsi="宋体" w:cs="宋体"/>
          <w:color w:val="000000" w:themeColor="text1"/>
          <w:sz w:val="30"/>
          <w:highlight w:val="none"/>
          <w:shd w:val="clear" w:color="auto" w:fill="auto"/>
          <w14:textFill>
            <w14:solidFill>
              <w14:schemeClr w14:val="tx1"/>
            </w14:solidFill>
          </w14:textFill>
        </w:rPr>
      </w:pPr>
      <w:r>
        <w:rPr>
          <w:rFonts w:ascii="宋体" w:hAnsi="宋体" w:cs="宋体"/>
          <w:color w:val="000000" w:themeColor="text1"/>
          <w:sz w:val="30"/>
          <w:highlight w:val="none"/>
          <w:shd w:val="clear" w:color="auto" w:fill="auto"/>
          <w14:textFill>
            <w14:solidFill>
              <w14:schemeClr w14:val="tx1"/>
            </w14:solidFill>
          </w14:textFill>
        </w:rPr>
      </w:r>
      <w:r/>
    </w:p>
    <w:p>
      <w:pPr>
        <w:jc w:val="center"/>
        <w:rPr>
          <w:rFonts w:ascii="宋体" w:hAnsi="宋体" w:cs="宋体"/>
          <w:color w:val="000000" w:themeColor="text1"/>
          <w:sz w:val="30"/>
          <w:highlight w:val="none"/>
          <w:shd w:val="clear" w:color="auto" w:fill="auto"/>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政府采购货物买卖合同</w:t>
      </w:r>
      <w:r/>
    </w:p>
    <w:p>
      <w:pPr>
        <w:jc w:val="center"/>
        <w:rPr>
          <w:rFonts w:ascii="宋体" w:hAnsi="宋体" w:cs="宋体"/>
          <w:color w:val="000000" w:themeColor="text1"/>
          <w:sz w:val="30"/>
          <w:highlight w:val="none"/>
          <w:shd w:val="clear" w:color="auto" w:fill="auto"/>
          <w14:textFill>
            <w14:solidFill>
              <w14:schemeClr w14:val="tx1"/>
            </w14:solidFill>
          </w14:textFill>
        </w:rPr>
      </w:pPr>
      <w:r>
        <w:rPr>
          <w:rFonts w:ascii="宋体" w:hAnsi="宋体" w:cs="宋体"/>
          <w:color w:val="000000" w:themeColor="text1"/>
          <w:sz w:val="30"/>
          <w:highlight w:val="none"/>
          <w:shd w:val="clear" w:color="auto" w:fill="auto"/>
          <w14:textFill>
            <w14:solidFill>
              <w14:schemeClr w14:val="tx1"/>
            </w14:solidFill>
          </w14:textFill>
        </w:rPr>
      </w:r>
      <w:r/>
    </w:p>
    <w:p>
      <w:pPr>
        <w:rPr>
          <w:rFonts w:ascii="宋体" w:hAnsi="宋体" w:cs="宋体"/>
          <w:color w:val="000000" w:themeColor="text1"/>
          <w:sz w:val="30"/>
          <w:highlight w:val="none"/>
          <w:shd w:val="clear" w:color="auto" w:fill="auto"/>
          <w14:textFill>
            <w14:solidFill>
              <w14:schemeClr w14:val="tx1"/>
            </w14:solidFill>
          </w14:textFill>
        </w:rPr>
      </w:pPr>
      <w:r>
        <w:rPr>
          <w:rFonts w:ascii="宋体" w:hAnsi="宋体" w:cs="宋体"/>
          <w:color w:val="000000" w:themeColor="text1"/>
          <w:sz w:val="30"/>
          <w:highlight w:val="none"/>
          <w:shd w:val="clear" w:color="auto" w:fill="auto"/>
          <w14:textFill>
            <w14:solidFill>
              <w14:schemeClr w14:val="tx1"/>
            </w14:solidFill>
          </w14:textFill>
        </w:rPr>
      </w:r>
      <w:r/>
    </w:p>
    <w:p>
      <w:pPr>
        <w:rPr>
          <w:rFonts w:ascii="宋体" w:hAnsi="宋体" w:cs="宋体"/>
          <w:color w:val="000000" w:themeColor="text1"/>
          <w:sz w:val="30"/>
          <w:highlight w:val="none"/>
          <w:shd w:val="clear" w:color="auto" w:fill="auto"/>
          <w14:textFill>
            <w14:solidFill>
              <w14:schemeClr w14:val="tx1"/>
            </w14:solidFill>
          </w14:textFill>
        </w:rPr>
      </w:pPr>
      <w:r>
        <w:rPr>
          <w:rFonts w:ascii="宋体" w:hAnsi="宋体" w:cs="宋体"/>
          <w:color w:val="000000" w:themeColor="text1"/>
          <w:sz w:val="30"/>
          <w:highlight w:val="none"/>
          <w:shd w:val="clear" w:color="auto" w:fill="auto"/>
          <w14:textFill>
            <w14:solidFill>
              <w14:schemeClr w14:val="tx1"/>
            </w14:solidFill>
          </w14:textFill>
        </w:rPr>
      </w:r>
      <w:r/>
    </w:p>
    <w:p>
      <w:pPr>
        <w:rPr>
          <w:rFonts w:ascii="宋体" w:hAnsi="宋体" w:cs="宋体"/>
          <w:color w:val="000000" w:themeColor="text1"/>
          <w:sz w:val="30"/>
          <w:highlight w:val="none"/>
          <w:shd w:val="clear" w:color="auto" w:fill="auto"/>
          <w14:textFill>
            <w14:solidFill>
              <w14:schemeClr w14:val="tx1"/>
            </w14:solidFill>
          </w14:textFill>
        </w:rPr>
      </w:pPr>
      <w:r>
        <w:rPr>
          <w:rFonts w:ascii="宋体" w:hAnsi="宋体" w:cs="宋体"/>
          <w:color w:val="000000" w:themeColor="text1"/>
          <w:sz w:val="30"/>
          <w:highlight w:val="none"/>
          <w:shd w:val="clear" w:color="auto" w:fill="auto"/>
          <w14:textFill>
            <w14:solidFill>
              <w14:schemeClr w14:val="tx1"/>
            </w14:solidFill>
          </w14:textFill>
        </w:rPr>
      </w:r>
      <w:r/>
    </w:p>
    <w:p>
      <w:pPr>
        <w:ind w:left="420"/>
        <w:spacing w:line="360" w:lineRule="auto"/>
        <w:rPr>
          <w:rFonts w:hint="eastAsia" w:ascii="宋体" w:hAnsi="宋体" w:eastAsia="宋体" w:cs="宋体"/>
          <w:color w:val="000000" w:themeColor="text1"/>
          <w:sz w:val="30"/>
          <w:highlight w:val="none"/>
          <w:shd w:val="clear" w:color="auto" w:fill="auto"/>
          <w:lang w:eastAsia="zh-CN"/>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项目名称：</w:t>
      </w:r>
      <w:r>
        <w:rPr>
          <w:rFonts w:hint="eastAsia" w:ascii="宋体" w:hAnsi="宋体" w:cs="宋体"/>
          <w:color w:val="000000" w:themeColor="text1"/>
          <w:sz w:val="30"/>
          <w:highlight w:val="none"/>
          <w:shd w:val="clear" w:color="auto" w:fill="auto"/>
          <w:lang w:eastAsia="zh-CN"/>
          <w14:textFill>
            <w14:solidFill>
              <w14:schemeClr w14:val="tx1"/>
            </w14:solidFill>
          </w14:textFill>
        </w:rPr>
        <w:t xml:space="preserve">盐城农业科技职业学院大数据应用实训室实训平台及配套设备采购项目</w:t>
      </w:r>
      <w:r/>
    </w:p>
    <w:p>
      <w:pPr>
        <w:ind w:left="420"/>
        <w:spacing w:line="360" w:lineRule="auto"/>
        <w:rPr>
          <w:rFonts w:ascii="宋体" w:hAnsi="宋体" w:cs="宋体"/>
          <w:color w:val="000000" w:themeColor="text1"/>
          <w:sz w:val="30"/>
          <w:highlight w:val="none"/>
          <w:shd w:val="clear" w:color="auto" w:fill="auto"/>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合同编号：</w:t>
      </w:r>
      <w:r/>
    </w:p>
    <w:p>
      <w:pPr>
        <w:ind w:left="420"/>
        <w:spacing w:line="360" w:lineRule="auto"/>
        <w:rPr>
          <w:rFonts w:ascii="宋体" w:hAnsi="宋体" w:cs="宋体"/>
          <w:color w:val="000000" w:themeColor="text1"/>
          <w:sz w:val="30"/>
          <w:highlight w:val="none"/>
          <w:shd w:val="clear" w:color="auto" w:fill="auto"/>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甲    方：</w:t>
      </w:r>
      <w:r/>
    </w:p>
    <w:p>
      <w:pPr>
        <w:ind w:left="420"/>
        <w:spacing w:line="360" w:lineRule="auto"/>
        <w:rPr>
          <w:rFonts w:ascii="宋体" w:hAnsi="宋体" w:cs="宋体"/>
          <w:color w:val="000000" w:themeColor="text1"/>
          <w:sz w:val="30"/>
          <w:highlight w:val="none"/>
          <w:shd w:val="clear" w:color="auto" w:fill="auto"/>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乙    方：</w:t>
      </w:r>
      <w:r/>
    </w:p>
    <w:p>
      <w:pPr>
        <w:ind w:left="420"/>
        <w:spacing w:line="360" w:lineRule="auto"/>
        <w:rPr>
          <w:rFonts w:ascii="宋体" w:hAnsi="宋体" w:cs="宋体"/>
          <w:color w:val="000000" w:themeColor="text1"/>
          <w:sz w:val="30"/>
          <w:highlight w:val="none"/>
          <w:shd w:val="clear" w:color="auto" w:fill="auto"/>
          <w14:textFill>
            <w14:solidFill>
              <w14:schemeClr w14:val="tx1"/>
            </w14:solidFill>
          </w14:textFill>
        </w:rPr>
      </w:pPr>
      <w:r>
        <w:rPr>
          <w:rFonts w:hint="eastAsia" w:ascii="宋体" w:hAnsi="宋体" w:cs="宋体"/>
          <w:color w:val="000000" w:themeColor="text1"/>
          <w:sz w:val="30"/>
          <w:highlight w:val="none"/>
          <w:shd w:val="clear" w:color="auto" w:fill="auto"/>
          <w14:textFill>
            <w14:solidFill>
              <w14:schemeClr w14:val="tx1"/>
            </w14:solidFill>
          </w14:textFill>
        </w:rPr>
        <w:t xml:space="preserve">签订时间：</w:t>
      </w:r>
      <w:r/>
    </w:p>
    <w:p>
      <w:pPr>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rPr>
          <w:rFonts w:eastAsia="黑体"/>
          <w:color w:val="000000" w:themeColor="text1"/>
          <w:sz w:val="44"/>
          <w:szCs w:val="44"/>
          <w:highlight w:val="none"/>
          <w:shd w:val="clear" w:color="auto" w:fill="auto"/>
          <w14:textFill>
            <w14:solidFill>
              <w14:schemeClr w14:val="tx1"/>
            </w14:solidFill>
          </w14:textFill>
        </w:rPr>
      </w:pPr>
      <w:r>
        <w:rPr>
          <w:rFonts w:eastAsia="黑体"/>
          <w:color w:val="000000" w:themeColor="text1"/>
          <w:sz w:val="44"/>
          <w:szCs w:val="44"/>
          <w:highlight w:val="none"/>
          <w:shd w:val="clear" w:color="auto" w:fill="auto"/>
          <w14:textFill>
            <w14:solidFill>
              <w14:schemeClr w14:val="tx1"/>
            </w14:solidFill>
          </w14:textFill>
        </w:rPr>
        <w:br w:type="page" w:clear="all"/>
      </w:r>
      <w:r/>
    </w:p>
    <w:p>
      <w:pPr>
        <w:jc w:val="center"/>
        <w:rPr>
          <w:rFonts w:eastAsia="黑体"/>
          <w:color w:val="000000" w:themeColor="text1"/>
          <w:sz w:val="44"/>
          <w:szCs w:val="44"/>
          <w:highlight w:val="none"/>
          <w:shd w:val="clear" w:color="auto" w:fill="auto"/>
          <w14:textFill>
            <w14:solidFill>
              <w14:schemeClr w14:val="tx1"/>
            </w14:solidFill>
          </w14:textFill>
        </w:rPr>
      </w:pPr>
      <w:r>
        <w:rPr>
          <w:rFonts w:hint="eastAsia" w:eastAsia="黑体"/>
          <w:color w:val="000000" w:themeColor="text1"/>
          <w:sz w:val="44"/>
          <w:szCs w:val="44"/>
          <w:highlight w:val="none"/>
          <w:shd w:val="clear" w:color="auto" w:fill="auto"/>
          <w14:textFill>
            <w14:solidFill>
              <w14:schemeClr w14:val="tx1"/>
            </w14:solidFill>
          </w14:textFill>
        </w:rPr>
        <w:t xml:space="preserve">使用说明</w:t>
      </w:r>
      <w:r/>
    </w:p>
    <w:p>
      <w:pPr>
        <w:ind w:firstLine="640"/>
        <w:rPr>
          <w:rFonts w:ascii="仿宋_GB2312" w:hAnsi="仿宋_GB2312" w:eastAsia="仿宋_GB2312" w:cs="仿宋_GB2312"/>
          <w:color w:val="000000" w:themeColor="text1"/>
          <w:sz w:val="32"/>
          <w:szCs w:val="32"/>
          <w:highlight w:val="none"/>
          <w:shd w:val="clear" w:color="auto" w:fill="auto"/>
          <w14:textFill>
            <w14:solidFill>
              <w14:schemeClr w14:val="tx1"/>
            </w14:solidFill>
          </w14:textFill>
        </w:rPr>
      </w:pPr>
      <w:r>
        <w:rPr>
          <w:rFonts w:ascii="仿宋_GB2312" w:hAnsi="仿宋_GB2312" w:eastAsia="仿宋_GB2312" w:cs="仿宋_GB2312"/>
          <w:color w:val="000000" w:themeColor="text1"/>
          <w:sz w:val="32"/>
          <w:szCs w:val="32"/>
          <w:highlight w:val="none"/>
          <w:shd w:val="clear" w:color="auto" w:fill="auto"/>
          <w14:textFill>
            <w14:solidFill>
              <w14:schemeClr w14:val="tx1"/>
            </w14:solidFill>
          </w14:textFill>
        </w:rPr>
      </w:r>
      <w:r/>
    </w:p>
    <w:p>
      <w:pPr>
        <w:ind w:firstLine="640"/>
        <w:rPr>
          <w:rFonts w:ascii="仿宋_GB2312" w:hAnsi="仿宋_GB2312" w:eastAsia="仿宋_GB2312" w:cs="仿宋_GB2312"/>
          <w:color w:val="000000" w:themeColor="text1"/>
          <w:sz w:val="32"/>
          <w:szCs w:val="32"/>
          <w:highlight w:val="none"/>
          <w:shd w:val="clear" w:color="auto" w:fill="auto"/>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shd w:val="clear" w:color="auto" w:fill="auto"/>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000000" w:themeColor="text1"/>
          <w:sz w:val="32"/>
          <w:szCs w:val="32"/>
          <w:highlight w:val="none"/>
          <w:shd w:val="clear" w:color="auto" w:fill="auto"/>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35"/>
      <w:r/>
      <w:r/>
    </w:p>
    <w:p>
      <w:pPr>
        <w:ind w:firstLine="880"/>
        <w:rPr>
          <w:rFonts w:eastAsia="黑体"/>
          <w:color w:val="000000" w:themeColor="text1"/>
          <w:sz w:val="44"/>
          <w:szCs w:val="44"/>
          <w:highlight w:val="none"/>
          <w:shd w:val="clear" w:color="auto" w:fill="auto"/>
          <w14:textFill>
            <w14:solidFill>
              <w14:schemeClr w14:val="tx1"/>
            </w14:solidFill>
          </w14:textFill>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highlight w:val="none"/>
          <w:shd w:val="clear" w:color="auto" w:fill="auto"/>
          <w14:textFill>
            <w14:solidFill>
              <w14:schemeClr w14:val="tx1"/>
            </w14:solidFill>
          </w14:textFill>
        </w:rPr>
      </w:r>
      <w:r/>
    </w:p>
    <w:p>
      <w:pPr>
        <w:jc w:val="center"/>
        <w:keepLines/>
        <w:keepNext/>
        <w:spacing w:line="400" w:lineRule="exact"/>
        <w:rPr>
          <w:rFonts w:ascii="黑体" w:hAnsi="黑体" w:eastAsia="黑体"/>
          <w:b/>
          <w:bCs/>
          <w:color w:val="000000" w:themeColor="text1"/>
          <w:sz w:val="28"/>
          <w:szCs w:val="28"/>
          <w:highlight w:val="none"/>
          <w:shd w:val="clear" w:color="auto" w:fill="auto"/>
          <w14:textFill>
            <w14:solidFill>
              <w14:schemeClr w14:val="tx1"/>
            </w14:solidFill>
          </w14:textFill>
        </w:rPr>
        <w:outlineLvl w:val="1"/>
      </w:pPr>
      <w:r/>
      <w:bookmarkStart w:id="136" w:name="_Toc22209"/>
      <w:r/>
      <w:r/>
    </w:p>
    <w:p>
      <w:pPr>
        <w:jc w:val="center"/>
        <w:keepLines/>
        <w:keepNext/>
        <w:spacing w:line="400" w:lineRule="exact"/>
        <w:rPr>
          <w:rFonts w:ascii="黑体" w:hAnsi="华文中宋" w:eastAsia="黑体"/>
          <w:color w:val="000000" w:themeColor="text1"/>
          <w:sz w:val="28"/>
          <w:szCs w:val="28"/>
          <w:highlight w:val="none"/>
          <w:shd w:val="clear" w:color="auto" w:fill="auto"/>
          <w14:textFill>
            <w14:solidFill>
              <w14:schemeClr w14:val="tx1"/>
            </w14:solidFill>
          </w14:textFill>
        </w:rPr>
        <w:outlineLvl w:val="1"/>
      </w:pPr>
      <w:r>
        <w:rPr>
          <w:rFonts w:hint="eastAsia" w:ascii="黑体" w:hAnsi="黑体" w:eastAsia="黑体"/>
          <w:color w:val="000000" w:themeColor="text1"/>
          <w:sz w:val="28"/>
          <w:szCs w:val="28"/>
          <w:highlight w:val="none"/>
          <w:shd w:val="clear" w:color="auto" w:fill="auto"/>
          <w14:textFill>
            <w14:solidFill>
              <w14:schemeClr w14:val="tx1"/>
            </w14:solidFill>
          </w14:textFill>
        </w:rPr>
        <w:t xml:space="preserve">第一节 </w:t>
      </w:r>
      <w:r>
        <w:rPr>
          <w:rFonts w:hint="eastAsia" w:ascii="黑体" w:hAnsi="华文中宋" w:eastAsia="黑体"/>
          <w:color w:val="000000" w:themeColor="text1"/>
          <w:sz w:val="28"/>
          <w:szCs w:val="28"/>
          <w:highlight w:val="none"/>
          <w:shd w:val="clear" w:color="auto" w:fill="auto"/>
          <w14:textFill>
            <w14:solidFill>
              <w14:schemeClr w14:val="tx1"/>
            </w14:solidFill>
          </w14:textFill>
        </w:rPr>
        <w:t xml:space="preserve">政府采购合同协议书</w:t>
      </w:r>
      <w:bookmarkEnd w:id="136"/>
      <w:r/>
      <w:r/>
    </w:p>
    <w:p>
      <w:pPr>
        <w:jc w:val="center"/>
        <w:keepLines/>
        <w:keepNext/>
        <w:spacing w:line="360" w:lineRule="auto"/>
        <w:rPr>
          <w:rFonts w:ascii="黑体" w:hAnsi="华文中宋" w:eastAsia="黑体"/>
          <w:color w:val="000000" w:themeColor="text1"/>
          <w:sz w:val="28"/>
          <w:szCs w:val="28"/>
          <w:highlight w:val="none"/>
          <w:shd w:val="clear" w:color="auto" w:fill="auto"/>
          <w14:textFill>
            <w14:solidFill>
              <w14:schemeClr w14:val="tx1"/>
            </w14:solidFill>
          </w14:textFill>
        </w:rPr>
        <w:outlineLvl w:val="1"/>
      </w:pPr>
      <w:r>
        <w:rPr>
          <w:rFonts w:ascii="黑体" w:hAnsi="华文中宋" w:eastAsia="黑体"/>
          <w:color w:val="000000" w:themeColor="text1"/>
          <w:sz w:val="28"/>
          <w:szCs w:val="28"/>
          <w:highlight w:val="none"/>
          <w:shd w:val="clear" w:color="auto" w:fill="auto"/>
          <w14:textFill>
            <w14:solidFill>
              <w14:schemeClr w14:val="tx1"/>
            </w14:solidFill>
          </w14:textFill>
        </w:rPr>
      </w:r>
      <w:r/>
    </w:p>
    <w:p>
      <w:pPr>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甲方（全称）：</w:t>
      </w:r>
      <w:r/>
    </w:p>
    <w:p>
      <w:pPr>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乙方（全称）：</w:t>
      </w:r>
      <w:r>
        <w:rPr>
          <w:rFonts w:ascii="宋体" w:hAnsi="宋体"/>
          <w:color w:val="000000" w:themeColor="text1"/>
          <w:sz w:val="24"/>
          <w:highlight w:val="none"/>
          <w:shd w:val="clear" w:color="auto" w:fill="auto"/>
          <w14:textFill>
            <w14:solidFill>
              <w14:schemeClr w14:val="tx1"/>
            </w14:solidFill>
          </w14:textFill>
        </w:rPr>
        <w:t xml:space="preserve"> </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w:t>
      </w:r>
      <w:r/>
    </w:p>
    <w:p>
      <w:pPr>
        <w:numPr>
          <w:ilvl w:val="0"/>
          <w:numId w:val="1"/>
        </w:numPr>
        <w:ind w:firstLine="482"/>
        <w:spacing w:line="360" w:lineRule="auto"/>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项目信息</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采购项目名称：</w:t>
      </w:r>
      <w:r>
        <w:rPr>
          <w:rFonts w:hint="eastAsia" w:ascii="宋体" w:hAnsi="宋体" w:cs="Times New Roman"/>
          <w:color w:val="000000" w:themeColor="text1"/>
          <w:sz w:val="24"/>
          <w:highlight w:val="none"/>
          <w:shd w:val="clear" w:color="auto" w:fill="auto"/>
          <w:lang w:eastAsia="zh-CN"/>
          <w14:textFill>
            <w14:solidFill>
              <w14:schemeClr w14:val="tx1"/>
            </w14:solidFill>
          </w14:textFill>
        </w:rPr>
        <w:t xml:space="preserve">盐城农业科技职业学院大数据应用实训室实训平台及配套设备采购项目</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lang w:eastAsia="zh-CN"/>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采购项目编号：</w:t>
      </w:r>
      <w:r>
        <w:rPr>
          <w:rFonts w:hint="eastAsia" w:ascii="宋体" w:hAnsi="宋体" w:cs="Times New Roman"/>
          <w:color w:val="000000" w:themeColor="text1"/>
          <w:sz w:val="24"/>
          <w:highlight w:val="none"/>
          <w:shd w:val="clear" w:color="auto" w:fill="auto"/>
          <w:lang w:eastAsia="zh-CN"/>
          <w14:textFill>
            <w14:solidFill>
              <w14:schemeClr w14:val="tx1"/>
            </w14:solidFill>
          </w14:textFill>
        </w:rPr>
        <w:t xml:space="preserve">JSZC-320900-RHHH-X2025-0145</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（2）采购计划编号：</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（3）项目内容：</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采购标的及数量（台/套/个/架/组等）：</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品牌：规格型号：</w:t>
      </w:r>
      <w:r/>
    </w:p>
    <w:p>
      <w:pPr>
        <w:ind w:firstLine="480"/>
        <w:jc w:val="left"/>
        <w:keepLines w:val="0"/>
        <w:keepNext w:val="0"/>
        <w:pageBreakBefore w:val="0"/>
        <w:spacing w:line="520" w:lineRule="exact"/>
        <w:widowControl w:val="off"/>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采购标的的技术要求、商务要求具体见附件。</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①涉及信息类产品，请填写该产</w:t>
      </w:r>
      <w:r>
        <w:rPr>
          <w:rFonts w:hint="eastAsia" w:ascii="宋体" w:hAnsi="宋体" w:cs="宋体"/>
          <w:color w:val="000000" w:themeColor="text1"/>
          <w:sz w:val="24"/>
          <w:highlight w:val="none"/>
          <w:shd w:val="clear" w:color="auto" w:fill="auto"/>
          <w14:textFill>
            <w14:solidFill>
              <w14:schemeClr w14:val="tx1"/>
            </w14:solidFill>
          </w14:textFill>
        </w:rPr>
        <w:t xml:space="preserve">品关键部件的品牌、型号：</w:t>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标的名称：</w:t>
      </w:r>
      <w:r/>
    </w:p>
    <w:p>
      <w:pPr>
        <w:ind w:firstLine="480"/>
        <w:jc w:val="left"/>
        <w:keepLines w:val="0"/>
        <w:keepNext w:val="0"/>
        <w:pageBreakBefore w:val="0"/>
        <w:spacing w:line="520" w:lineRule="exact"/>
        <w:widowControl w:val="off"/>
        <w:rPr>
          <w:rFonts w:ascii="宋体" w:hAnsi="宋体" w:cs="宋体"/>
          <w:color w:val="000000" w:themeColor="text1"/>
          <w:szCs w:val="21"/>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cs="宋体"/>
          <w:color w:val="000000" w:themeColor="text1"/>
          <w:szCs w:val="21"/>
          <w:highlight w:val="none"/>
          <w:shd w:val="clear" w:color="auto" w:fill="auto"/>
          <w14:textFill>
            <w14:solidFill>
              <w14:schemeClr w14:val="tx1"/>
            </w14:solidFill>
          </w14:textFill>
        </w:rPr>
        <w:t xml:space="preserve">关键部件：</w:t>
      </w:r>
      <w:r>
        <w:rPr>
          <w:rFonts w:hint="eastAsia" w:ascii="宋体" w:hAnsi="宋体" w:cs="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s="宋体"/>
          <w:color w:val="000000" w:themeColor="text1"/>
          <w:szCs w:val="21"/>
          <w:highlight w:val="none"/>
          <w:shd w:val="clear" w:color="auto" w:fill="auto"/>
          <w14:textFill>
            <w14:solidFill>
              <w14:schemeClr w14:val="tx1"/>
            </w14:solidFill>
          </w14:textFill>
        </w:rPr>
        <w:t xml:space="preserve"> 品牌：</w:t>
      </w:r>
      <w:r>
        <w:rPr>
          <w:rFonts w:hint="eastAsia" w:ascii="宋体" w:hAnsi="宋体" w:cs="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s="宋体"/>
          <w:color w:val="000000" w:themeColor="text1"/>
          <w:szCs w:val="21"/>
          <w:highlight w:val="none"/>
          <w:shd w:val="clear" w:color="auto" w:fill="auto"/>
          <w14:textFill>
            <w14:solidFill>
              <w14:schemeClr w14:val="tx1"/>
            </w14:solidFill>
          </w14:textFill>
        </w:rPr>
        <w:t xml:space="preserve"> 型号：</w:t>
      </w:r>
      <w:r>
        <w:rPr>
          <w:rFonts w:hint="eastAsia" w:ascii="宋体" w:hAnsi="宋体" w:cs="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s="宋体"/>
          <w:color w:val="000000" w:themeColor="text1"/>
          <w:szCs w:val="21"/>
          <w:highlight w:val="none"/>
          <w:shd w:val="clear" w:color="auto" w:fill="auto"/>
          <w14:textFill>
            <w14:solidFill>
              <w14:schemeClr w14:val="tx1"/>
            </w14:solidFill>
          </w14:textFill>
        </w:rPr>
        <w:t xml:space="preserve"> </w:t>
      </w:r>
      <w:r/>
    </w:p>
    <w:p>
      <w:pPr>
        <w:ind w:firstLine="420"/>
        <w:jc w:val="left"/>
        <w:keepLines w:val="0"/>
        <w:keepNext w:val="0"/>
        <w:pageBreakBefore w:val="0"/>
        <w:spacing w:line="520" w:lineRule="exact"/>
        <w:widowControl w:val="off"/>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品牌：</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型号：</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w:t>
      </w:r>
      <w:r/>
    </w:p>
    <w:p>
      <w:pPr>
        <w:ind w:firstLine="420"/>
        <w:jc w:val="left"/>
        <w:keepLines w:val="0"/>
        <w:keepNext w:val="0"/>
        <w:pageBreakBefore w:val="0"/>
        <w:spacing w:line="520" w:lineRule="exact"/>
        <w:widowControl w:val="off"/>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品牌：</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型号：</w:t>
      </w:r>
      <w:r>
        <w:rPr>
          <w:rFonts w:hint="eastAsia" w:ascii="宋体" w:hAnsi="宋体" w:eastAsia="宋体" w:cs="宋体"/>
          <w:color w:val="000000" w:themeColor="text1"/>
          <w:sz w:val="21"/>
          <w:highlight w:val="none"/>
          <w:u w:val="single"/>
          <w:shd w:val="clear" w:color="auto" w:fill="auto"/>
          <w14:textFill>
            <w14:solidFill>
              <w14:schemeClr w14:val="tx1"/>
            </w14:solidFill>
          </w14:textFill>
        </w:rPr>
        <w:t xml:space="preserve">       </w:t>
      </w:r>
      <w:r/>
    </w:p>
    <w:p>
      <w:pPr>
        <w:numPr>
          <w:ilvl w:val="0"/>
          <w:numId w:val="0"/>
        </w:numPr>
        <w:jc w:val="left"/>
        <w:spacing w:line="360" w:lineRule="auto"/>
        <w:widowControl/>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②涉及车辆</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w:t>
      </w:r>
      <w:r>
        <w:rPr>
          <w:rFonts w:hint="eastAsia" w:ascii="宋体" w:hAnsi="宋体" w:cs="宋体"/>
          <w:color w:val="000000" w:themeColor="text1"/>
          <w:sz w:val="24"/>
          <w:highlight w:val="none"/>
          <w:shd w:val="clear" w:color="auto" w:fill="auto"/>
          <w14:textFill>
            <w14:solidFill>
              <w14:schemeClr w14:val="tx1"/>
            </w14:solidFill>
          </w14:textFill>
        </w:rPr>
        <w:t xml:space="preserve">，请填写是否属于新能源汽车：</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是，《政府采购品目分类目录》底级品目名称： 数量： 金额：</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cs="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w:t>
      </w:r>
      <w:r>
        <w:rPr>
          <w:rFonts w:ascii="宋体" w:hAnsi="宋体" w:cs="宋体"/>
          <w:color w:val="000000" w:themeColor="text1"/>
          <w:sz w:val="24"/>
          <w:highlight w:val="none"/>
          <w:shd w:val="clear" w:color="auto" w:fill="auto"/>
          <w14:textFill>
            <w14:solidFill>
              <w14:schemeClr w14:val="tx1"/>
            </w14:solidFill>
          </w14:textFill>
        </w:rPr>
        <w:t xml:space="preserve">4</w:t>
      </w:r>
      <w:r>
        <w:rPr>
          <w:rFonts w:hint="eastAsia" w:ascii="宋体" w:hAnsi="宋体" w:cs="宋体"/>
          <w:color w:val="000000" w:themeColor="text1"/>
          <w:sz w:val="24"/>
          <w:highlight w:val="none"/>
          <w:shd w:val="clear" w:color="auto" w:fill="auto"/>
          <w14:textFill>
            <w14:solidFill>
              <w14:schemeClr w14:val="tx1"/>
            </w14:solidFill>
          </w14:textFill>
        </w:rPr>
        <w:t xml:space="preserve">）政府采购组织形式：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政府集中采购</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部门集中采购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cs="宋体"/>
          <w:color w:val="000000" w:themeColor="text1"/>
          <w:sz w:val="24"/>
          <w:highlight w:val="none"/>
          <w:shd w:val="clear" w:color="auto" w:fill="auto"/>
          <w14:textFill>
            <w14:solidFill>
              <w14:schemeClr w14:val="tx1"/>
            </w14:solidFill>
          </w14:textFill>
        </w:rPr>
        <w:t xml:space="preserve">分散采购</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w:t>
      </w:r>
      <w:r>
        <w:rPr>
          <w:rFonts w:ascii="宋体" w:hAnsi="宋体" w:cs="宋体"/>
          <w:color w:val="000000" w:themeColor="text1"/>
          <w:sz w:val="24"/>
          <w:highlight w:val="none"/>
          <w:shd w:val="clear" w:color="auto" w:fill="auto"/>
          <w14:textFill>
            <w14:solidFill>
              <w14:schemeClr w14:val="tx1"/>
            </w14:solidFill>
          </w14:textFill>
        </w:rPr>
        <w:t xml:space="preserve">5</w:t>
      </w:r>
      <w:r>
        <w:rPr>
          <w:rFonts w:hint="eastAsia" w:ascii="宋体" w:hAnsi="宋体" w:cs="宋体"/>
          <w:color w:val="000000" w:themeColor="text1"/>
          <w:sz w:val="24"/>
          <w:highlight w:val="none"/>
          <w:shd w:val="clear" w:color="auto" w:fill="auto"/>
          <w14:textFill>
            <w14:solidFill>
              <w14:schemeClr w14:val="tx1"/>
            </w14:solidFill>
          </w14:textFill>
        </w:rPr>
        <w:t xml:space="preserve">）政府</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w:t>
      </w:r>
      <w:r>
        <w:rPr>
          <w:rFonts w:hint="eastAsia" w:ascii="宋体" w:hAnsi="宋体" w:cs="宋体"/>
          <w:color w:val="000000" w:themeColor="text1"/>
          <w:sz w:val="24"/>
          <w:highlight w:val="none"/>
          <w:shd w:val="clear" w:color="auto" w:fill="auto"/>
          <w14:textFill>
            <w14:solidFill>
              <w14:schemeClr w14:val="tx1"/>
            </w14:solidFill>
          </w14:textFill>
        </w:rPr>
        <w:t xml:space="preserve">方式：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公开招标</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邀请招标</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竞争性谈判</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竞争性磋商</w:t>
      </w:r>
      <w:r/>
    </w:p>
    <w:p>
      <w:pPr>
        <w:numPr>
          <w:ilvl w:val="0"/>
          <w:numId w:val="0"/>
        </w:numPr>
        <w:ind w:firstLine="420"/>
        <w:jc w:val="left"/>
        <w:spacing w:line="360" w:lineRule="auto"/>
        <w:widowControl/>
        <w:rPr>
          <w:rFonts w:ascii="宋体" w:hAnsi="宋体" w:cs="宋体"/>
          <w:color w:val="000000" w:themeColor="text1"/>
          <w:sz w:val="24"/>
          <w:highlight w:val="none"/>
          <w:u w:val="singl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cs="宋体"/>
          <w:color w:val="000000" w:themeColor="text1"/>
          <w:sz w:val="24"/>
          <w:highlight w:val="none"/>
          <w:shd w:val="clear" w:color="auto" w:fill="auto"/>
          <w14:textFill>
            <w14:solidFill>
              <w14:schemeClr w14:val="tx1"/>
            </w14:solidFill>
          </w14:textFill>
        </w:rPr>
        <w:t xml:space="preserve">询价</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单一来源</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框架协议</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其他：</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（注：在框架协议采购的第二阶段，可选择使用该合同文本）</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eastAsia="华文楷体" w:cs="华文楷体"/>
          <w:color w:val="000000" w:themeColor="text1"/>
          <w:sz w:val="24"/>
          <w:highlight w:val="none"/>
          <w:shd w:val="clear" w:color="auto" w:fill="auto"/>
          <w14:textFill>
            <w14:solidFill>
              <w14:schemeClr w14:val="tx1"/>
            </w14:solidFill>
          </w14:textFill>
        </w:rPr>
        <w:t xml:space="preserve"> （</w:t>
      </w:r>
      <w:r>
        <w:rPr>
          <w:rFonts w:ascii="宋体" w:hAnsi="宋体" w:eastAsia="华文楷体" w:cs="华文楷体"/>
          <w:color w:val="000000" w:themeColor="text1"/>
          <w:sz w:val="24"/>
          <w:highlight w:val="none"/>
          <w:shd w:val="clear" w:color="auto" w:fill="auto"/>
          <w14:textFill>
            <w14:solidFill>
              <w14:schemeClr w14:val="tx1"/>
            </w14:solidFill>
          </w14:textFill>
        </w:rPr>
        <w:t xml:space="preserve">6</w:t>
      </w:r>
      <w:r>
        <w:rPr>
          <w:rFonts w:hint="eastAsia" w:ascii="宋体" w:hAnsi="宋体" w:eastAsia="华文楷体" w:cs="华文楷体"/>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本合同是否为</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专门</w:t>
      </w:r>
      <w:r>
        <w:rPr>
          <w:rFonts w:hint="eastAsia" w:ascii="宋体" w:hAnsi="宋体"/>
          <w:color w:val="000000" w:themeColor="text1"/>
          <w:sz w:val="24"/>
          <w:highlight w:val="none"/>
          <w:shd w:val="clear" w:color="auto" w:fill="auto"/>
          <w14:textFill>
            <w14:solidFill>
              <w14:schemeClr w14:val="tx1"/>
            </w14:solidFill>
          </w14:textFill>
        </w:rPr>
        <w:t xml:space="preserve">面向中小企业的采购合同（中小企业预留合同）：</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若本项目不专门面向中小企业采购，是否给予小微企业评审优惠：</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中标（成交）采购标的制造商是否为残疾人福利性单位：</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中标（成交）采购标的制造商是否为监狱企业：</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w:t>
      </w:r>
      <w:r>
        <w:rPr>
          <w:rFonts w:ascii="宋体" w:hAnsi="宋体"/>
          <w:color w:val="000000" w:themeColor="text1"/>
          <w:sz w:val="24"/>
          <w:highlight w:val="none"/>
          <w:shd w:val="clear" w:color="auto" w:fill="auto"/>
          <w14:textFill>
            <w14:solidFill>
              <w14:schemeClr w14:val="tx1"/>
            </w14:solidFill>
          </w14:textFill>
        </w:rPr>
        <w:t xml:space="preserve">7</w:t>
      </w:r>
      <w:r>
        <w:rPr>
          <w:rFonts w:hint="eastAsia" w:ascii="宋体" w:hAnsi="宋体"/>
          <w:color w:val="000000" w:themeColor="text1"/>
          <w:sz w:val="24"/>
          <w:highlight w:val="none"/>
          <w:shd w:val="clear" w:color="auto" w:fill="auto"/>
          <w14:textFill>
            <w14:solidFill>
              <w14:schemeClr w14:val="tx1"/>
            </w14:solidFill>
          </w14:textFill>
        </w:rPr>
        <w:t xml:space="preserve">）合同是否分包：</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分包</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主要</w:t>
      </w:r>
      <w:r>
        <w:rPr>
          <w:rFonts w:hint="eastAsia" w:ascii="宋体" w:hAnsi="宋体"/>
          <w:color w:val="000000" w:themeColor="text1"/>
          <w:sz w:val="24"/>
          <w:highlight w:val="none"/>
          <w:shd w:val="clear" w:color="auto" w:fill="auto"/>
          <w14:textFill>
            <w14:solidFill>
              <w14:schemeClr w14:val="tx1"/>
            </w14:solidFill>
          </w14:textFill>
        </w:rPr>
        <w:t xml:space="preserve">内容：</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分包</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供应商</w:t>
      </w:r>
      <w:r>
        <w:rPr>
          <w:rFonts w:hint="eastAsia" w:ascii="宋体" w:hAnsi="宋体"/>
          <w:color w:val="000000" w:themeColor="text1"/>
          <w:sz w:val="24"/>
          <w:highlight w:val="none"/>
          <w:shd w:val="clear" w:color="auto" w:fill="auto"/>
          <w14:textFill>
            <w14:solidFill>
              <w14:schemeClr w14:val="tx1"/>
            </w14:solidFill>
          </w14:textFill>
        </w:rPr>
        <w:t xml:space="preserve">/制造商名称（如供应商和制造商不同，请分别填写）：</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分包</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供应商</w:t>
      </w:r>
      <w:r>
        <w:rPr>
          <w:rFonts w:hint="eastAsia" w:ascii="宋体" w:hAnsi="宋体"/>
          <w:color w:val="000000" w:themeColor="text1"/>
          <w:sz w:val="24"/>
          <w:highlight w:val="none"/>
          <w:shd w:val="clear" w:color="auto" w:fill="auto"/>
          <w14:textFill>
            <w14:solidFill>
              <w14:schemeClr w14:val="tx1"/>
            </w14:solidFill>
          </w14:textFill>
        </w:rPr>
        <w:t xml:space="preserve">/制造商类型（如果供应商和制造商不同，只填写制造商类型）：</w:t>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14:textFill>
            <w14:solidFill>
              <w14:schemeClr w14:val="tx1"/>
            </w14:solidFill>
          </w14:textFill>
        </w:rPr>
      </w:pP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大型企业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中型企业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小微型企业</w:t>
      </w:r>
      <w:r/>
    </w:p>
    <w:p>
      <w:pPr>
        <w:ind w:firstLine="480"/>
        <w:jc w:val="left"/>
        <w:keepLines w:val="0"/>
        <w:keepNext w:val="0"/>
        <w:pageBreakBefore w:val="0"/>
        <w:spacing w:line="520" w:lineRule="exact"/>
        <w:widowControl w:val="off"/>
        <w:rPr>
          <w:rFonts w:eastAsia="华文楷体"/>
          <w:color w:val="000000" w:themeColor="text1"/>
          <w:sz w:val="24"/>
          <w:highlight w:val="none"/>
          <w:shd w:val="clear" w:color="auto" w:fill="auto"/>
          <w14:textFill>
            <w14:solidFill>
              <w14:schemeClr w14:val="tx1"/>
            </w14:solidFill>
          </w14:textFill>
        </w:rPr>
      </w:pP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残疾人</w:t>
      </w:r>
      <w:r>
        <w:rPr>
          <w:rFonts w:hint="eastAsia" w:ascii="宋体" w:hAnsi="宋体"/>
          <w:iCs/>
          <w:color w:val="000000" w:themeColor="text1"/>
          <w:sz w:val="24"/>
          <w:highlight w:val="none"/>
          <w:shd w:val="clear" w:color="auto" w:fill="auto"/>
          <w14:textFill>
            <w14:solidFill>
              <w14:schemeClr w14:val="tx1"/>
            </w14:solidFill>
          </w14:textFill>
        </w:rPr>
        <w:t xml:space="preserve">福利性单位</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监狱企业</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iCs/>
          <w:color w:val="000000" w:themeColor="text1"/>
          <w:sz w:val="24"/>
          <w:highlight w:val="none"/>
          <w:shd w:val="clear" w:color="auto" w:fill="auto"/>
          <w14:textFill>
            <w14:solidFill>
              <w14:schemeClr w14:val="tx1"/>
            </w14:solidFill>
          </w14:textFill>
        </w:rPr>
        <w:t xml:space="preserve">其他</w:t>
      </w:r>
      <w:r/>
    </w:p>
    <w:p>
      <w:pPr>
        <w:ind w:firstLine="480"/>
        <w:jc w:val="left"/>
        <w:keepLines w:val="0"/>
        <w:keepNext w:val="0"/>
        <w:pageBreakBefore w:val="0"/>
        <w:spacing w:line="520" w:lineRule="exact"/>
        <w:widowControl w:val="off"/>
        <w:rPr>
          <w:rFonts w:ascii="宋体" w:hAnsi="宋体" w:cs="宋体"/>
          <w:iCs/>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w:t>
      </w:r>
      <w:r>
        <w:rPr>
          <w:rFonts w:ascii="宋体" w:hAnsi="宋体" w:cs="宋体"/>
          <w:color w:val="000000" w:themeColor="text1"/>
          <w:sz w:val="24"/>
          <w:highlight w:val="none"/>
          <w:shd w:val="clear" w:color="auto" w:fill="auto"/>
          <w14:textFill>
            <w14:solidFill>
              <w14:schemeClr w14:val="tx1"/>
            </w14:solidFill>
          </w14:textFill>
        </w:rPr>
        <w:t xml:space="preserve">8</w:t>
      </w:r>
      <w:r>
        <w:rPr>
          <w:rFonts w:hint="eastAsia" w:ascii="宋体" w:hAnsi="宋体" w:cs="宋体"/>
          <w:color w:val="000000" w:themeColor="text1"/>
          <w:sz w:val="24"/>
          <w:highlight w:val="none"/>
          <w:shd w:val="clear" w:color="auto" w:fill="auto"/>
          <w14:textFill>
            <w14:solidFill>
              <w14:schemeClr w14:val="tx1"/>
            </w14:solidFill>
          </w14:textFill>
        </w:rPr>
        <w:t xml:space="preserve">）中标（成交）供应商是否为外商投资企业：</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cs="宋体"/>
          <w:i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cs="宋体"/>
          <w:iCs/>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外商投资企业类型：</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全部由外国投资者投资  </w:t>
      </w:r>
      <w:r>
        <w:rPr>
          <w:rFonts w:ascii="Wingdings" w:hAnsi="Wingdings" w:eastAsia="Wingdings" w:cs="Wingdings"/>
          <w:iCs/>
          <w:color w:val="000000" w:themeColor="text1"/>
          <w:sz w:val="24"/>
          <w:highlight w:val="none"/>
          <w:shd w:val="clear" w:color="auto" w:fill="auto"/>
          <w14:textFill>
            <w14:solidFill>
              <w14:schemeClr w14:val="tx1"/>
            </w14:solidFill>
          </w14:textFill>
        </w:rPr>
        <w:t xml:space="preserve"></w:t>
      </w:r>
      <w:r>
        <w:rPr>
          <w:rFonts w:hint="eastAsia" w:ascii="宋体" w:hAnsi="宋体" w:cs="宋体"/>
          <w:iCs/>
          <w:color w:val="000000" w:themeColor="text1"/>
          <w:sz w:val="24"/>
          <w:highlight w:val="none"/>
          <w:shd w:val="clear" w:color="auto" w:fill="auto"/>
          <w14:textFill>
            <w14:solidFill>
              <w14:schemeClr w14:val="tx1"/>
            </w14:solidFill>
          </w14:textFill>
        </w:rPr>
        <w:t xml:space="preserve">部分由外国投资者投资</w:t>
      </w:r>
      <w:r/>
    </w:p>
    <w:p>
      <w:pPr>
        <w:ind w:firstLine="480"/>
        <w:jc w:val="left"/>
        <w:keepLines w:val="0"/>
        <w:keepNext w:val="0"/>
        <w:pageBreakBefore w:val="0"/>
        <w:spacing w:line="520" w:lineRule="exact"/>
        <w:widowControl w:val="off"/>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w:t>
      </w:r>
      <w:r>
        <w:rPr>
          <w:rFonts w:ascii="宋体" w:hAnsi="宋体" w:cs="宋体"/>
          <w:color w:val="000000" w:themeColor="text1"/>
          <w:sz w:val="24"/>
          <w:highlight w:val="none"/>
          <w:shd w:val="clear" w:color="auto" w:fill="auto"/>
          <w14:textFill>
            <w14:solidFill>
              <w14:schemeClr w14:val="tx1"/>
            </w14:solidFill>
          </w14:textFill>
        </w:rPr>
        <w:t xml:space="preserve">9</w:t>
      </w:r>
      <w:r>
        <w:rPr>
          <w:rFonts w:hint="eastAsia" w:ascii="宋体" w:hAnsi="宋体" w:cs="宋体"/>
          <w:color w:val="000000" w:themeColor="text1"/>
          <w:sz w:val="24"/>
          <w:highlight w:val="none"/>
          <w:shd w:val="clear" w:color="auto" w:fill="auto"/>
          <w14:textFill>
            <w14:solidFill>
              <w14:schemeClr w14:val="tx1"/>
            </w14:solidFill>
          </w14:textFill>
        </w:rPr>
        <w:t xml:space="preserve">）是否</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涉及</w:t>
      </w:r>
      <w:r>
        <w:rPr>
          <w:rFonts w:hint="eastAsia" w:ascii="宋体" w:hAnsi="宋体" w:cs="宋体"/>
          <w:color w:val="000000" w:themeColor="text1"/>
          <w:sz w:val="24"/>
          <w:highlight w:val="none"/>
          <w:shd w:val="clear" w:color="auto" w:fill="auto"/>
          <w14:textFill>
            <w14:solidFill>
              <w14:schemeClr w14:val="tx1"/>
            </w14:solidFill>
          </w14:textFill>
        </w:rPr>
        <w:t xml:space="preserve">进口产品：</w:t>
      </w:r>
      <w:r/>
    </w:p>
    <w:p>
      <w:pPr>
        <w:ind w:firstLine="480"/>
        <w:jc w:val="left"/>
        <w:keepLines w:val="0"/>
        <w:keepNext w:val="0"/>
        <w:pageBreakBefore w:val="0"/>
        <w:spacing w:line="520" w:lineRule="exact"/>
        <w:widowControl w:val="off"/>
        <w:rPr>
          <w:rFonts w:ascii="宋体" w:hAnsi="宋体" w:cs="宋体"/>
          <w:color w:val="000000" w:themeColor="text1"/>
          <w:sz w:val="24"/>
          <w:highlight w:val="none"/>
          <w:u w:val="singl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是，《政府采购品目分类目录》底级</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品目</w:t>
      </w:r>
      <w:r>
        <w:rPr>
          <w:rFonts w:hint="eastAsia" w:ascii="宋体" w:hAnsi="宋体" w:cs="宋体"/>
          <w:color w:val="000000" w:themeColor="text1"/>
          <w:sz w:val="24"/>
          <w:highlight w:val="none"/>
          <w:shd w:val="clear" w:color="auto" w:fill="auto"/>
          <w14:textFill>
            <w14:solidFill>
              <w14:schemeClr w14:val="tx1"/>
            </w14:solidFill>
          </w14:textFill>
        </w:rPr>
        <w:t xml:space="preserve">名称：金额：</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国别：品牌： 规格型号：</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（1</w:t>
      </w:r>
      <w:r>
        <w:rPr>
          <w:rFonts w:ascii="宋体" w:hAnsi="宋体"/>
          <w:color w:val="000000" w:themeColor="text1"/>
          <w:sz w:val="24"/>
          <w:highlight w:val="none"/>
          <w:shd w:val="clear" w:color="auto" w:fill="auto"/>
          <w14:textFill>
            <w14:solidFill>
              <w14:schemeClr w14:val="tx1"/>
            </w14:solidFill>
          </w14:textFill>
        </w:rPr>
        <w:t xml:space="preserve">0</w:t>
      </w:r>
      <w:r>
        <w:rPr>
          <w:rFonts w:hint="eastAsia" w:ascii="宋体" w:hAnsi="宋体"/>
          <w:color w:val="000000" w:themeColor="text1"/>
          <w:sz w:val="24"/>
          <w:highlight w:val="none"/>
          <w:shd w:val="clear" w:color="auto" w:fill="auto"/>
          <w14:textFill>
            <w14:solidFill>
              <w14:schemeClr w14:val="tx1"/>
            </w14:solidFill>
          </w14:textFill>
        </w:rPr>
        <w:t xml:space="preserve">）是否</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涉及</w:t>
      </w:r>
      <w:r>
        <w:rPr>
          <w:rFonts w:hint="eastAsia" w:ascii="宋体" w:hAnsi="宋体"/>
          <w:color w:val="000000" w:themeColor="text1"/>
          <w:sz w:val="24"/>
          <w:highlight w:val="none"/>
          <w:shd w:val="clear" w:color="auto" w:fill="auto"/>
          <w14:textFill>
            <w14:solidFill>
              <w14:schemeClr w14:val="tx1"/>
            </w14:solidFill>
          </w14:textFill>
        </w:rPr>
        <w:t xml:space="preserve">节能产品：</w:t>
      </w:r>
      <w:r/>
    </w:p>
    <w:p>
      <w:pPr>
        <w:ind w:firstLine="480"/>
        <w:jc w:val="left"/>
        <w:keepLines w:val="0"/>
        <w:keepNext w:val="0"/>
        <w:pageBreakBefore w:val="0"/>
        <w:spacing w:line="520" w:lineRule="exact"/>
        <w:widowControl w:val="off"/>
        <w:rPr>
          <w:rFonts w:ascii="宋体" w:hAnsi="宋体"/>
          <w:iCs/>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是，《节能</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产品</w:t>
      </w:r>
      <w:r>
        <w:rPr>
          <w:rFonts w:hint="eastAsia" w:ascii="宋体" w:hAnsi="宋体"/>
          <w:color w:val="000000" w:themeColor="text1"/>
          <w:sz w:val="24"/>
          <w:highlight w:val="none"/>
          <w:shd w:val="clear" w:color="auto" w:fill="auto"/>
          <w14:textFill>
            <w14:solidFill>
              <w14:schemeClr w14:val="tx1"/>
            </w14:solidFill>
          </w14:textFill>
        </w:rPr>
        <w:t xml:space="preserve">政府采购品目清单》的底级品目名称：</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优先</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采购</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是否涉及环境标志产品：</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是，《环境</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标志</w:t>
      </w:r>
      <w:r>
        <w:rPr>
          <w:rFonts w:hint="eastAsia" w:ascii="宋体" w:hAnsi="宋体"/>
          <w:color w:val="000000" w:themeColor="text1"/>
          <w:sz w:val="24"/>
          <w:highlight w:val="none"/>
          <w:shd w:val="clear" w:color="auto" w:fill="auto"/>
          <w14:textFill>
            <w14:solidFill>
              <w14:schemeClr w14:val="tx1"/>
            </w14:solidFill>
          </w14:textFill>
        </w:rPr>
        <w:t xml:space="preserve">产品政府采购品目清单》的底级品目名称：</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优先采购</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是否涉及绿色产品：</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是，绿色</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产品</w:t>
      </w:r>
      <w:r>
        <w:rPr>
          <w:rFonts w:hint="eastAsia" w:ascii="宋体" w:hAnsi="宋体"/>
          <w:color w:val="000000" w:themeColor="text1"/>
          <w:sz w:val="24"/>
          <w:highlight w:val="none"/>
          <w:shd w:val="clear" w:color="auto" w:fill="auto"/>
          <w14:textFill>
            <w14:solidFill>
              <w14:schemeClr w14:val="tx1"/>
            </w14:solidFill>
          </w14:textFill>
        </w:rPr>
        <w:t xml:space="preserve">政府采购相关政策确定的底级品目名称：</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强制采购</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优先采购</w:t>
      </w:r>
      <w:r/>
    </w:p>
    <w:p>
      <w:pPr>
        <w:ind w:firstLine="480"/>
        <w:jc w:val="left"/>
        <w:keepLines w:val="0"/>
        <w:keepNext w:val="0"/>
        <w:pageBreakBefore w:val="0"/>
        <w:spacing w:line="520" w:lineRule="exact"/>
        <w:widowControl w:val="off"/>
        <w:rPr>
          <w:rFonts w:ascii="宋体" w:hAnsi="宋体" w:eastAsia="华文楷体" w:cs="华文楷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w:t>
      </w:r>
      <w:r>
        <w:rPr>
          <w:rFonts w:ascii="宋体" w:hAnsi="宋体"/>
          <w:color w:val="000000" w:themeColor="text1"/>
          <w:sz w:val="24"/>
          <w:highlight w:val="none"/>
          <w:shd w:val="clear" w:color="auto" w:fill="auto"/>
          <w14:textFill>
            <w14:solidFill>
              <w14:schemeClr w14:val="tx1"/>
            </w14:solidFill>
          </w14:textFill>
        </w:rPr>
        <w:t xml:space="preserve">1</w:t>
      </w:r>
      <w:r>
        <w:rPr>
          <w:rFonts w:hint="eastAsia" w:ascii="宋体" w:hAnsi="宋体"/>
          <w:color w:val="000000" w:themeColor="text1"/>
          <w:sz w:val="24"/>
          <w:highlight w:val="none"/>
          <w:shd w:val="clear" w:color="auto" w:fill="auto"/>
          <w14:textFill>
            <w14:solidFill>
              <w14:schemeClr w14:val="tx1"/>
            </w14:solidFill>
          </w14:textFill>
        </w:rPr>
        <w:t xml:space="preserve">）涉及商品</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包装</w:t>
      </w:r>
      <w:r>
        <w:rPr>
          <w:rFonts w:hint="eastAsia" w:ascii="宋体" w:hAnsi="宋体"/>
          <w:color w:val="000000" w:themeColor="text1"/>
          <w:sz w:val="24"/>
          <w:highlight w:val="none"/>
          <w:shd w:val="clear" w:color="auto" w:fill="auto"/>
          <w14:textFill>
            <w14:solidFill>
              <w14:schemeClr w14:val="tx1"/>
            </w14:solidFill>
          </w14:textFill>
        </w:rPr>
        <w:t xml:space="preserve">和快递包装的，是否参考《商品包装政府采购需求标准（试行）</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快递包装政府采购需求标准（试行）》明确产品及相关快递服务的具体包装要求：</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否</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不涉及</w:t>
      </w:r>
      <w:r/>
    </w:p>
    <w:p>
      <w:pPr>
        <w:numPr>
          <w:ilvl w:val="0"/>
          <w:numId w:val="1"/>
        </w:numPr>
        <w:ind w:firstLine="482"/>
        <w:spacing w:line="360" w:lineRule="auto"/>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合同金额</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（1）合同</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金额</w:t>
      </w:r>
      <w:r>
        <w:rPr>
          <w:rFonts w:hint="eastAsia" w:ascii="宋体" w:hAnsi="宋体"/>
          <w:color w:val="000000" w:themeColor="text1"/>
          <w:sz w:val="24"/>
          <w:highlight w:val="none"/>
          <w:shd w:val="clear" w:color="auto" w:fill="auto"/>
          <w14:textFill>
            <w14:solidFill>
              <w14:schemeClr w14:val="tx1"/>
            </w14:solidFill>
          </w14:textFill>
        </w:rPr>
        <w:t xml:space="preserve">小写：</w:t>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大写</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分包</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金额</w:t>
      </w:r>
      <w:r>
        <w:rPr>
          <w:rFonts w:hint="eastAsia" w:ascii="宋体" w:hAnsi="宋体"/>
          <w:color w:val="000000" w:themeColor="text1"/>
          <w:sz w:val="24"/>
          <w:highlight w:val="none"/>
          <w:shd w:val="clear" w:color="auto" w:fill="auto"/>
          <w14:textFill>
            <w14:solidFill>
              <w14:schemeClr w14:val="tx1"/>
            </w14:solidFill>
          </w14:textFill>
        </w:rPr>
        <w:t xml:space="preserve">（如有）小写：</w:t>
      </w:r>
      <w:r/>
    </w:p>
    <w:p>
      <w:pPr>
        <w:ind w:firstLine="480"/>
        <w:jc w:val="left"/>
        <w:keepLines w:val="0"/>
        <w:keepNext w:val="0"/>
        <w:pageBreakBefore w:val="0"/>
        <w:spacing w:line="520" w:lineRule="exact"/>
        <w:widowControl w:val="off"/>
        <w:rPr>
          <w:rFonts w:ascii="宋体" w:hAnsi="宋体"/>
          <w:color w:val="000000" w:themeColor="text1"/>
          <w:sz w:val="24"/>
          <w:highlight w:val="none"/>
          <w:u w:val="single"/>
          <w:shd w:val="clear" w:color="auto" w:fill="auto"/>
          <w14:textFill>
            <w14:solidFill>
              <w14:schemeClr w14:val="tx1"/>
            </w14:solidFill>
          </w14:textFill>
        </w:rPr>
      </w:pP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大写</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ind w:firstLine="480"/>
        <w:jc w:val="left"/>
        <w:keepLines w:val="0"/>
        <w:keepNext w:val="0"/>
        <w:pageBreakBefore w:val="0"/>
        <w:spacing w:line="520" w:lineRule="exact"/>
        <w:widowControl w:val="off"/>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（2）付款方式（按项目实际勾选填写，具体详见专用条款第二节</w:t>
      </w:r>
      <w:r/>
    </w:p>
    <w:p>
      <w:pPr>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第12.2款）：</w:t>
      </w:r>
      <w:r/>
    </w:p>
    <w:p>
      <w:pPr>
        <w:ind w:firstLine="630"/>
        <w:spacing w:line="400" w:lineRule="exact"/>
        <w:rPr>
          <w:rFonts w:ascii="宋体" w:hAnsi="宋体"/>
          <w:color w:val="000000" w:themeColor="text1"/>
          <w:szCs w:val="21"/>
          <w:highlight w:val="none"/>
          <w:u w:val="single"/>
          <w:shd w:val="clear" w:color="auto" w:fill="auto"/>
          <w14:textFill>
            <w14:solidFill>
              <w14:schemeClr w14:val="tx1"/>
            </w14:solidFill>
          </w14:textFill>
        </w:rPr>
      </w:pPr>
      <w:r>
        <w:rPr>
          <w:rFonts w:ascii="Wingdings" w:hAnsi="Wingdings" w:eastAsia="Wingdings" w:cs="Wingdings"/>
          <w:color w:val="000000" w:themeColor="text1"/>
          <w:szCs w:val="21"/>
          <w:highlight w:val="none"/>
          <w:shd w:val="clear" w:color="auto" w:fill="auto"/>
          <w14:textFill>
            <w14:solidFill>
              <w14:schemeClr w14:val="tx1"/>
            </w14:solidFill>
          </w14:textFill>
        </w:rPr>
        <w:t xml:space="preserve">¨</w:t>
      </w:r>
      <w:r>
        <w:rPr>
          <w:rFonts w:hint="eastAsia" w:ascii="宋体" w:hAnsi="宋体"/>
          <w:color w:val="000000" w:themeColor="text1"/>
          <w:szCs w:val="21"/>
          <w:highlight w:val="none"/>
          <w:shd w:val="clear" w:color="auto" w:fill="auto"/>
          <w14:textFill>
            <w14:solidFill>
              <w14:schemeClr w14:val="tx1"/>
            </w14:solidFill>
          </w14:textFill>
        </w:rPr>
        <w:t xml:space="preserve">全额付款：</w:t>
      </w:r>
      <w:r>
        <w:rPr>
          <w:rFonts w:hint="eastAsia" w:ascii="宋体" w:hAnsi="宋体"/>
          <w:color w:val="000000" w:themeColor="text1"/>
          <w:szCs w:val="21"/>
          <w:highlight w:val="none"/>
          <w:u w:val="single"/>
          <w:shd w:val="clear" w:color="auto" w:fill="auto"/>
          <w14:textFill>
            <w14:solidFill>
              <w14:schemeClr w14:val="tx1"/>
            </w14:solidFill>
          </w14:textFill>
        </w:rPr>
        <w:t xml:space="preserve">     （应明确一次性支付合同款项的条件）                    </w:t>
      </w:r>
      <w:r/>
    </w:p>
    <w:p>
      <w:pPr>
        <w:ind w:firstLine="630"/>
        <w:spacing w:line="400" w:lineRule="exact"/>
        <w:rPr>
          <w:rFonts w:hint="eastAsia" w:ascii="宋体" w:hAnsi="宋体"/>
          <w:color w:val="000000" w:themeColor="text1"/>
          <w:szCs w:val="21"/>
          <w:highlight w:val="none"/>
          <w:u w:val="single"/>
          <w:shd w:val="clear" w:color="auto" w:fill="auto"/>
          <w14:textFill>
            <w14:solidFill>
              <w14:schemeClr w14:val="tx1"/>
            </w14:solidFill>
          </w14:textFill>
        </w:rPr>
      </w:pPr>
      <w:r>
        <w:rPr>
          <w:rFonts w:ascii="Wingdings" w:hAnsi="Wingdings" w:eastAsia="Wingdings" w:cs="Wingdings"/>
          <w:color w:val="000000" w:themeColor="text1"/>
          <w:szCs w:val="21"/>
          <w:highlight w:val="none"/>
          <w:shd w:val="clear" w:color="auto" w:fill="auto"/>
          <w14:textFill>
            <w14:solidFill>
              <w14:schemeClr w14:val="tx1"/>
            </w14:solidFill>
          </w14:textFill>
        </w:rPr>
        <w:t xml:space="preserve">þ</w:t>
      </w:r>
      <w:r>
        <w:rPr>
          <w:rFonts w:hint="eastAsia" w:ascii="宋体" w:hAnsi="宋体"/>
          <w:color w:val="000000" w:themeColor="text1"/>
          <w:szCs w:val="21"/>
          <w:highlight w:val="none"/>
          <w:shd w:val="clear" w:color="auto" w:fill="auto"/>
          <w14:textFill>
            <w14:solidFill>
              <w14:schemeClr w14:val="tx1"/>
            </w14:solidFill>
          </w14:textFill>
        </w:rPr>
        <w:t xml:space="preserve">分期付款：</w:t>
      </w:r>
      <w:r>
        <w:rPr>
          <w:rFonts w:hint="eastAsia" w:ascii="宋体" w:hAnsi="宋体"/>
          <w:color w:val="000000" w:themeColor="text1"/>
          <w:szCs w:val="21"/>
          <w:highlight w:val="none"/>
          <w:u w:val="single"/>
          <w:shd w:val="clear" w:color="auto" w:fill="auto"/>
          <w14:textFill>
            <w14:solidFill>
              <w14:schemeClr w14:val="tx1"/>
            </w14:solidFill>
          </w14:textFill>
        </w:rPr>
        <w:t xml:space="preserve"> （具体详见专用条款第二节第12.2款）。 </w:t>
      </w:r>
      <w:r>
        <w:rPr>
          <w:rFonts w:hint="eastAsia" w:ascii="宋体" w:hAnsi="宋体"/>
          <w:color w:val="000000" w:themeColor="text1"/>
          <w:szCs w:val="21"/>
          <w:highlight w:val="none"/>
          <w:shd w:val="clear" w:color="auto" w:fill="auto"/>
          <w14:textFill>
            <w14:solidFill>
              <w14:schemeClr w14:val="tx1"/>
            </w14:solidFill>
          </w14:textFill>
        </w:rPr>
        <w:t xml:space="preserve">，其中涉及预付款的：</w:t>
      </w:r>
      <w:r>
        <w:rPr>
          <w:rFonts w:hint="eastAsia" w:ascii="宋体" w:hAnsi="宋体"/>
          <w:color w:val="000000" w:themeColor="text1"/>
          <w:szCs w:val="21"/>
          <w:highlight w:val="none"/>
          <w:u w:val="single"/>
          <w:shd w:val="clear" w:color="auto" w:fill="auto"/>
          <w14:textFill>
            <w14:solidFill>
              <w14:schemeClr w14:val="tx1"/>
            </w14:solidFill>
          </w14:textFill>
        </w:rPr>
        <w:t xml:space="preserve"> （具体详见专用条款第二节 第12.2款） </w:t>
      </w:r>
      <w:r/>
    </w:p>
    <w:p>
      <w:pPr>
        <w:ind w:firstLine="630"/>
        <w:spacing w:line="400" w:lineRule="exact"/>
        <w:rPr>
          <w:rFonts w:ascii="宋体" w:hAnsi="宋体"/>
          <w:color w:val="000000" w:themeColor="text1"/>
          <w:szCs w:val="21"/>
          <w:highlight w:val="none"/>
          <w:u w:val="single"/>
          <w:shd w:val="clear" w:color="auto" w:fill="auto"/>
          <w14:textFill>
            <w14:solidFill>
              <w14:schemeClr w14:val="tx1"/>
            </w14:solidFill>
          </w14:textFill>
        </w:rPr>
      </w:pPr>
      <w:r>
        <w:rPr>
          <w:rFonts w:ascii="Wingdings" w:hAnsi="Wingdings" w:eastAsia="Wingdings" w:cs="Wingdings"/>
          <w:color w:val="000000" w:themeColor="text1"/>
          <w:szCs w:val="21"/>
          <w:highlight w:val="none"/>
          <w:shd w:val="clear" w:color="auto" w:fill="auto"/>
          <w14:textFill>
            <w14:solidFill>
              <w14:schemeClr w14:val="tx1"/>
            </w14:solidFill>
          </w14:textFill>
        </w:rPr>
        <w:t xml:space="preserve">¨</w:t>
      </w:r>
      <w:r>
        <w:rPr>
          <w:rFonts w:hint="eastAsia" w:ascii="宋体" w:hAnsi="宋体"/>
          <w:color w:val="000000" w:themeColor="text1"/>
          <w:szCs w:val="21"/>
          <w:highlight w:val="none"/>
          <w:shd w:val="clear" w:color="auto" w:fill="auto"/>
          <w14:textFill>
            <w14:solidFill>
              <w14:schemeClr w14:val="tx1"/>
            </w14:solidFill>
          </w14:textFill>
        </w:rPr>
        <w:t xml:space="preserve">成本补偿：</w:t>
      </w:r>
      <w:r>
        <w:rPr>
          <w:rFonts w:hint="eastAsia" w:ascii="宋体" w:hAnsi="宋体"/>
          <w:color w:val="000000" w:themeColor="text1"/>
          <w:szCs w:val="21"/>
          <w:highlight w:val="none"/>
          <w:u w:val="single"/>
          <w:shd w:val="clear" w:color="auto" w:fill="auto"/>
          <w14:textFill>
            <w14:solidFill>
              <w14:schemeClr w14:val="tx1"/>
            </w14:solidFill>
          </w14:textFill>
        </w:rPr>
        <w:t xml:space="preserve">      （应明确按照成本补偿方式的支付方式和支付条件）   </w:t>
      </w:r>
      <w:r/>
    </w:p>
    <w:p>
      <w:pPr>
        <w:ind w:firstLine="630"/>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ascii="Wingdings" w:hAnsi="Wingdings" w:eastAsia="Wingdings" w:cs="Wingdings"/>
          <w:color w:val="000000" w:themeColor="text1"/>
          <w:szCs w:val="21"/>
          <w:highlight w:val="none"/>
          <w:shd w:val="clear" w:color="auto" w:fill="auto"/>
          <w14:textFill>
            <w14:solidFill>
              <w14:schemeClr w14:val="tx1"/>
            </w14:solidFill>
          </w14:textFill>
        </w:rPr>
        <w:t xml:space="preserve">¨</w:t>
      </w:r>
      <w:r>
        <w:rPr>
          <w:rFonts w:hint="eastAsia" w:ascii="宋体" w:hAnsi="宋体"/>
          <w:color w:val="000000" w:themeColor="text1"/>
          <w:szCs w:val="21"/>
          <w:highlight w:val="none"/>
          <w:shd w:val="clear" w:color="auto" w:fill="auto"/>
          <w14:textFill>
            <w14:solidFill>
              <w14:schemeClr w14:val="tx1"/>
            </w14:solidFill>
          </w14:textFill>
        </w:rPr>
        <w:t xml:space="preserve">绩效激励：</w:t>
      </w:r>
      <w:r>
        <w:rPr>
          <w:rFonts w:hint="eastAsia" w:ascii="宋体" w:hAnsi="宋体"/>
          <w:color w:val="000000" w:themeColor="text1"/>
          <w:szCs w:val="21"/>
          <w:highlight w:val="none"/>
          <w:u w:val="single"/>
          <w:shd w:val="clear" w:color="auto" w:fill="auto"/>
          <w14:textFill>
            <w14:solidFill>
              <w14:schemeClr w14:val="tx1"/>
            </w14:solidFill>
          </w14:textFill>
        </w:rPr>
        <w:t xml:space="preserve">      （应明确按照绩效激励方式的支付方式和支付条件）   </w:t>
      </w:r>
      <w:r/>
    </w:p>
    <w:p>
      <w:pPr>
        <w:numPr>
          <w:ilvl w:val="0"/>
          <w:numId w:val="1"/>
        </w:numPr>
        <w:ind w:firstLine="482"/>
        <w:spacing w:line="360" w:lineRule="auto"/>
        <w:rPr>
          <w:rFonts w:ascii="宋体" w:hAnsi="宋体"/>
          <w:b/>
          <w:color w:val="000000" w:themeColor="text1"/>
          <w:sz w:val="24"/>
          <w:highlight w:val="none"/>
          <w:u w:val="singl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合同履行</w:t>
      </w:r>
      <w:r/>
    </w:p>
    <w:p>
      <w:pPr>
        <w:ind w:firstLine="480"/>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（1）起始日期：</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年</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月</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日，完成日期：</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年</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月</w:t>
      </w:r>
      <w:r>
        <w:rPr>
          <w:rFonts w:hint="eastAsia" w:ascii="宋体" w:hAnsi="宋体" w:cs="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日。</w:t>
      </w:r>
      <w:r/>
    </w:p>
    <w:p>
      <w:pPr>
        <w:ind w:firstLine="480"/>
        <w:spacing w:line="360" w:lineRule="auto"/>
        <w:rPr>
          <w:rFonts w:ascii="宋体" w:hAnsi="宋体" w:cs="宋体"/>
          <w:color w:val="000000" w:themeColor="text1"/>
          <w:sz w:val="24"/>
          <w:highlight w:val="none"/>
          <w:u w:val="singl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（2）履约地点</w:t>
      </w:r>
      <w:r>
        <w:rPr>
          <w:rFonts w:hint="eastAsia" w:ascii="宋体" w:hAnsi="宋体" w:cs="宋体"/>
          <w:bCs/>
          <w:color w:val="000000" w:themeColor="text1"/>
          <w:sz w:val="24"/>
          <w:highlight w:val="none"/>
          <w:shd w:val="clear" w:color="auto" w:fill="auto"/>
          <w14:textFill>
            <w14:solidFill>
              <w14:schemeClr w14:val="tx1"/>
            </w14:solidFill>
          </w14:textFill>
        </w:rPr>
        <w:t xml:space="preserve">：</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  （同专用条款 第二节 第23.1款 ）   </w:t>
      </w:r>
      <w:r>
        <w:rPr>
          <w:rFonts w:hint="eastAsia" w:ascii="宋体" w:hAnsi="宋体" w:cs="宋体"/>
          <w:bCs/>
          <w:color w:val="000000" w:themeColor="text1"/>
          <w:sz w:val="24"/>
          <w:highlight w:val="none"/>
          <w:shd w:val="clear" w:color="auto" w:fill="auto"/>
          <w14:textFill>
            <w14:solidFill>
              <w14:schemeClr w14:val="tx1"/>
            </w14:solidFill>
          </w14:textFill>
        </w:rPr>
        <w:t xml:space="preserve">  </w:t>
      </w:r>
      <w:r/>
    </w:p>
    <w:p>
      <w:pPr>
        <w:ind w:firstLine="480"/>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（3）</w:t>
      </w:r>
      <w:r>
        <w:rPr>
          <w:rFonts w:hint="eastAsia" w:ascii="宋体" w:hAnsi="宋体" w:cs="宋体"/>
          <w:color w:val="000000" w:themeColor="text1"/>
          <w:sz w:val="24"/>
          <w:highlight w:val="none"/>
          <w:shd w:val="clear" w:color="auto" w:fill="auto"/>
          <w14:textFill>
            <w14:solidFill>
              <w14:schemeClr w14:val="tx1"/>
            </w14:solidFill>
          </w14:textFill>
        </w:rPr>
        <w:t xml:space="preserve">履约担保：履约担保：是否收取履约保证金：</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þ</w:t>
      </w:r>
      <w:r>
        <w:rPr>
          <w:rFonts w:hint="eastAsia" w:ascii="宋体" w:hAnsi="宋体" w:cs="宋体"/>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否</w:t>
      </w:r>
      <w:r/>
    </w:p>
    <w:p>
      <w:pPr>
        <w:ind w:firstLine="480"/>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收取履约保证金形式：</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 支票、汇票、本票或者金融机构、担保机构出具的保函等非现金形式提交履约保证金   </w:t>
      </w:r>
      <w:r/>
    </w:p>
    <w:p>
      <w:pPr>
        <w:ind w:firstLine="480"/>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收取履约保证金金额：</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合同金额的10%，采购人对AA评级及以上政府采购供应商（需提供信用管理部门备案的第三方信用报告），降低履约保证金缴纳比例至合同金额的8%。 </w:t>
      </w:r>
      <w:r/>
    </w:p>
    <w:p>
      <w:pPr>
        <w:ind w:firstLine="480"/>
        <w:spacing w:line="360" w:lineRule="auto"/>
        <w:rPr>
          <w:rFonts w:ascii="宋体" w:hAnsi="宋体" w:cs="宋体"/>
          <w:bCs/>
          <w:color w:val="000000" w:themeColor="text1"/>
          <w:sz w:val="24"/>
          <w:highlight w:val="none"/>
          <w:u w:val="singl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履约担保期限： </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 验收合格且采购人收到发票后30日内。   </w:t>
      </w:r>
      <w:r/>
    </w:p>
    <w:p>
      <w:pPr>
        <w:numPr>
          <w:ilvl w:val="0"/>
          <w:numId w:val="2"/>
        </w:numPr>
        <w:ind w:firstLine="480"/>
        <w:spacing w:line="360" w:lineRule="auto"/>
        <w:rPr>
          <w:rFonts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确需收取履约保证金的，履约保证金的缴纳形式：</w:t>
      </w:r>
      <w:r/>
    </w:p>
    <w:p>
      <w:pPr>
        <w:ind w:firstLine="480"/>
        <w:spacing w:line="360" w:lineRule="auto"/>
        <w:rPr>
          <w:rFonts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（5）分期履行要求：（具体详见专用条款第二节 第12.2款）</w:t>
      </w:r>
      <w:r/>
    </w:p>
    <w:p>
      <w:pPr>
        <w:ind w:firstLine="480"/>
        <w:spacing w:line="360" w:lineRule="auto"/>
        <w:rPr>
          <w:rFonts w:ascii="宋体" w:hAnsi="宋体" w:cs="宋体"/>
          <w:color w:val="000000" w:themeColor="text1"/>
          <w:sz w:val="24"/>
          <w:highlight w:val="none"/>
          <w:u w:val="singl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6）风险处置措施和替代方案：如违约金额不能弥补甲方损失的，甲方有权要求乙方赔偿因违约给甲方造成的一切损失，乙方应赔偿的损失除甲方的直接损失外，还包括甲方因追究乙方责任，产生的交通费、诉讼费、律师费、鉴定费、保全费等费用。</w:t>
      </w:r>
      <w:r/>
    </w:p>
    <w:p>
      <w:pPr>
        <w:numPr>
          <w:ilvl w:val="0"/>
          <w:numId w:val="1"/>
        </w:numPr>
        <w:ind w:firstLine="482"/>
        <w:spacing w:line="360" w:lineRule="auto"/>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合同验收</w:t>
      </w:r>
      <w:r/>
    </w:p>
    <w:p>
      <w:pPr>
        <w:numPr>
          <w:ilvl w:val="0"/>
          <w:numId w:val="3"/>
        </w:numPr>
        <w:ind w:firstLine="48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验收组织方式：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自行组织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委托第三方组织</w:t>
      </w:r>
      <w:r/>
    </w:p>
    <w:p>
      <w:pPr>
        <w:ind w:firstLine="960"/>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验收主体：</w:t>
      </w:r>
      <w:r>
        <w:rPr>
          <w:rFonts w:hint="eastAsia" w:ascii="宋体" w:hAnsi="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                         </w:t>
      </w:r>
      <w:r>
        <w:rPr>
          <w:rFonts w:hint="eastAsia" w:ascii="宋体" w:hAnsi="宋体" w:cs="宋体"/>
          <w:color w:val="000000" w:themeColor="text1"/>
          <w:sz w:val="24"/>
          <w:highlight w:val="none"/>
          <w:shd w:val="clear" w:color="auto" w:fill="auto"/>
          <w14:textFill>
            <w14:solidFill>
              <w14:schemeClr w14:val="tx1"/>
            </w14:solidFill>
          </w14:textFill>
        </w:rPr>
        <w:t xml:space="preserve"> </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是否邀请本项目的其他供应商参加验收：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是否进行抽查检测：</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是，抽查比例：</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是否存在破坏性检测：</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是，</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（应明确对被破坏的检测产品的处理方式）</w:t>
      </w:r>
      <w:r/>
    </w:p>
    <w:p>
      <w:pPr>
        <w:ind w:firstLine="96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否</w:t>
      </w:r>
      <w:r/>
    </w:p>
    <w:p>
      <w:pPr>
        <w:ind w:firstLine="960"/>
        <w:spacing w:line="360" w:lineRule="auto"/>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验收组织的其他事项：</w:t>
      </w:r>
      <w:r/>
    </w:p>
    <w:p>
      <w:pPr>
        <w:ind w:firstLine="480"/>
        <w:spacing w:line="360" w:lineRule="auto"/>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（2）履约验收时间：</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（计划于何时验收/供应商提出验收申请之日起   日内组织验收）</w:t>
      </w:r>
      <w:r/>
    </w:p>
    <w:p>
      <w:pPr>
        <w:ind w:firstLine="480"/>
        <w:spacing w:line="360" w:lineRule="auto"/>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（3）履约验收方式：</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一次性验收         </w:t>
      </w:r>
      <w:r/>
    </w:p>
    <w:p>
      <w:pPr>
        <w:spacing w:line="360" w:lineRule="auto"/>
        <w:rPr>
          <w:rFonts w:ascii="宋体" w:hAnsi="宋体"/>
          <w:bCs/>
          <w:color w:val="000000" w:themeColor="text1"/>
          <w:sz w:val="24"/>
          <w:highlight w:val="none"/>
          <w:shd w:val="clear" w:color="auto" w:fill="auto"/>
          <w14:textFill>
            <w14:solidFill>
              <w14:schemeClr w14:val="tx1"/>
            </w14:solidFill>
          </w14:textFill>
        </w:rPr>
      </w:pP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分期/分项验收：</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（应明确分期</w:t>
      </w:r>
      <w:r>
        <w:rPr>
          <w:rFonts w:ascii="宋体" w:hAnsi="宋体"/>
          <w:bCs/>
          <w:color w:val="000000" w:themeColor="text1"/>
          <w:sz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分项验收的工作安排）</w:t>
      </w:r>
      <w:r/>
    </w:p>
    <w:p>
      <w:pPr>
        <w:ind w:firstLine="480"/>
        <w:spacing w:line="360" w:lineRule="auto"/>
        <w:rPr>
          <w:rFonts w:hint="eastAsia" w:ascii="宋体" w:hAnsi="宋体" w:eastAsia="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（4）履约验收程序：同专用条款 第二节 第23.1款</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（5）履约验收的内容：</w:t>
      </w:r>
      <w:r>
        <w:rPr>
          <w:rFonts w:hint="eastAsia" w:ascii="宋体" w:hAnsi="宋体"/>
          <w:bCs/>
          <w:color w:val="000000" w:themeColor="text1"/>
          <w:sz w:val="24"/>
          <w:highlight w:val="none"/>
          <w:u w:val="single"/>
          <w:shd w:val="clear" w:color="auto" w:fill="auto"/>
          <w14:textFill>
            <w14:solidFill>
              <w14:schemeClr w14:val="tx1"/>
            </w14:solidFill>
          </w14:textFill>
        </w:rPr>
        <w:t xml:space="preserve">本项目《采购文件》中每一项技术和商务要求的履约情况</w:t>
      </w:r>
      <w:r>
        <w:rPr>
          <w:rFonts w:hint="eastAsia" w:ascii="宋体" w:hAnsi="宋体"/>
          <w:bCs/>
          <w:color w:val="000000" w:themeColor="text1"/>
          <w:sz w:val="24"/>
          <w:highlight w:val="none"/>
          <w:u w:val="single"/>
          <w:shd w:val="clear" w:color="auto" w:fill="auto"/>
          <w:lang w:eastAsia="zh-CN"/>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u w:val="singl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6）履约验收标准：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p>
    <w:p>
      <w:pPr>
        <w:ind w:firstLine="480"/>
        <w:jc w:val="left"/>
        <w:spacing w:line="360" w:lineRule="auto"/>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bCs/>
          <w:color w:val="000000" w:themeColor="text1"/>
          <w:sz w:val="24"/>
          <w:highlight w:val="none"/>
          <w:shd w:val="clear" w:color="auto" w:fill="auto"/>
          <w14:textFill>
            <w14:solidFill>
              <w14:schemeClr w14:val="tx1"/>
            </w14:solidFill>
          </w14:textFill>
        </w:rPr>
        <w:t xml:space="preserve">是  </w:t>
      </w:r>
      <w:r>
        <w:rPr>
          <w:rFonts w:ascii="Wingdings" w:hAnsi="Wingdings" w:eastAsia="Wingdings" w:cs="Wingdings"/>
          <w:color w:val="000000" w:themeColor="text1"/>
          <w:sz w:val="24"/>
          <w:highlight w:val="none"/>
          <w:shd w:val="clear" w:color="auto" w:fill="auto"/>
          <w14:textFill>
            <w14:solidFill>
              <w14:schemeClr w14:val="tx1"/>
            </w14:solidFill>
          </w14:textFill>
        </w:rPr>
        <w:t xml:space="preserve"></w:t>
      </w:r>
      <w:r>
        <w:rPr>
          <w:rFonts w:hint="eastAsia" w:ascii="宋体" w:hAnsi="宋体" w:cs="宋体"/>
          <w:bCs/>
          <w:color w:val="000000" w:themeColor="text1"/>
          <w:sz w:val="24"/>
          <w:highlight w:val="none"/>
          <w:shd w:val="clear" w:color="auto" w:fill="auto"/>
          <w14:textFill>
            <w14:solidFill>
              <w14:schemeClr w14:val="tx1"/>
            </w14:solidFill>
          </w14:textFill>
        </w:rPr>
        <w:t xml:space="preserve">否</w:t>
      </w:r>
      <w:r/>
    </w:p>
    <w:p>
      <w:pPr>
        <w:ind w:firstLine="480"/>
        <w:spacing w:line="360" w:lineRule="auto"/>
        <w:rPr>
          <w:rFonts w:ascii="宋体" w:hAnsi="宋体" w:cs="宋体"/>
          <w:bCs/>
          <w:color w:val="000000" w:themeColor="text1"/>
          <w:sz w:val="24"/>
          <w:highlight w:val="none"/>
          <w:u w:val="singl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（8）履约验收其他事项：</w:t>
      </w:r>
      <w:r>
        <w:rPr>
          <w:rFonts w:hint="eastAsia" w:ascii="宋体" w:hAnsi="宋体" w:cs="宋体"/>
          <w:bCs/>
          <w:color w:val="000000" w:themeColor="text1"/>
          <w:sz w:val="24"/>
          <w:highlight w:val="none"/>
          <w:u w:val="single"/>
          <w:shd w:val="clear" w:color="auto" w:fill="auto"/>
          <w14:textFill>
            <w14:solidFill>
              <w14:schemeClr w14:val="tx1"/>
            </w14:solidFill>
          </w14:textFill>
        </w:rPr>
        <w:t xml:space="preserve">（产权过户登记等）</w:t>
      </w:r>
      <w:r/>
    </w:p>
    <w:p>
      <w:pPr>
        <w:numPr>
          <w:ilvl w:val="0"/>
          <w:numId w:val="1"/>
        </w:numPr>
        <w:ind w:firstLine="482"/>
        <w:spacing w:line="360" w:lineRule="auto"/>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组成合同的文件</w:t>
      </w:r>
      <w:r/>
    </w:p>
    <w:p>
      <w:pPr>
        <w:ind w:firstLine="480"/>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本协议书与下列文件一起构成合同文件，如下述文件之间有任何抵触、矛盾或歧义，应按以下顺序解释：</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（1）政府采购合同协议书及其变更、补充协议</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（2）政府采购合同专用条款</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（3）政府采购合同通用条款</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（4）中标（成交）通知书</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（5）投标（响应）文件</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（6）</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 w:val="24"/>
          <w:highlight w:val="none"/>
          <w:shd w:val="clear" w:color="auto" w:fill="auto"/>
          <w14:textFill>
            <w14:solidFill>
              <w14:schemeClr w14:val="tx1"/>
            </w14:solidFill>
          </w14:textFill>
        </w:rPr>
        <w:t xml:space="preserve">文件</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（7）有关技术文件，图纸</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（8）国家法律、行政法规和规章制度规定或合同约定的作为合同组成部分的其他文件</w:t>
      </w:r>
      <w:r/>
    </w:p>
    <w:p>
      <w:pPr>
        <w:ind w:left="422"/>
        <w:spacing w:line="400" w:lineRule="exact"/>
        <w:rPr>
          <w:rFonts w:ascii="宋体" w:hAnsi="宋体"/>
          <w:b/>
          <w:color w:val="000000" w:themeColor="text1"/>
          <w:szCs w:val="21"/>
          <w:highlight w:val="none"/>
          <w:shd w:val="clear" w:color="auto" w:fill="auto"/>
          <w14:textFill>
            <w14:solidFill>
              <w14:schemeClr w14:val="tx1"/>
            </w14:solidFill>
          </w14:textFill>
        </w:rPr>
      </w:pPr>
      <w:r>
        <w:rPr>
          <w:rFonts w:hint="eastAsia" w:ascii="宋体" w:hAnsi="宋体"/>
          <w:b/>
          <w:color w:val="000000" w:themeColor="text1"/>
          <w:szCs w:val="21"/>
          <w:highlight w:val="none"/>
          <w:shd w:val="clear" w:color="auto" w:fill="auto"/>
          <w14:textFill>
            <w14:solidFill>
              <w14:schemeClr w14:val="tx1"/>
            </w14:solidFill>
          </w14:textFill>
        </w:rPr>
        <w:t xml:space="preserve">6.</w:t>
      </w:r>
      <w:r>
        <w:rPr>
          <w:rFonts w:hint="eastAsia" w:ascii="宋体" w:hAnsi="宋体"/>
          <w:b/>
          <w:color w:val="000000" w:themeColor="text1"/>
          <w:sz w:val="24"/>
          <w:highlight w:val="none"/>
          <w:shd w:val="clear" w:color="auto" w:fill="auto"/>
          <w14:textFill>
            <w14:solidFill>
              <w14:schemeClr w14:val="tx1"/>
            </w14:solidFill>
          </w14:textFill>
        </w:rPr>
        <w:t xml:space="preserve">合同生效</w:t>
      </w:r>
      <w:r/>
    </w:p>
    <w:p>
      <w:pPr>
        <w:ind w:firstLine="480"/>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本合同自</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年</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月</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日生效。</w:t>
      </w:r>
      <w:r/>
    </w:p>
    <w:p>
      <w:pPr>
        <w:ind w:left="482"/>
        <w:spacing w:line="360" w:lineRule="auto"/>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7.合同份数</w:t>
      </w:r>
      <w:r/>
    </w:p>
    <w:p>
      <w:pPr>
        <w:ind w:firstLine="420"/>
        <w:spacing w:line="400" w:lineRule="exact"/>
        <w:rPr>
          <w:rFonts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本合同一式</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u w:val="single"/>
          <w:shd w:val="clear" w:color="auto" w:fill="auto"/>
          <w:lang w:val="en-US" w:eastAsia="zh-CN"/>
          <w14:textFill>
            <w14:solidFill>
              <w14:schemeClr w14:val="tx1"/>
            </w14:solidFill>
          </w14:textFill>
        </w:rPr>
        <w:t xml:space="preserve">6</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份，甲方执</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u w:val="single"/>
          <w:shd w:val="clear" w:color="auto" w:fill="auto"/>
          <w:lang w:val="en-US" w:eastAsia="zh-CN"/>
          <w14:textFill>
            <w14:solidFill>
              <w14:schemeClr w14:val="tx1"/>
            </w14:solidFill>
          </w14:textFill>
        </w:rPr>
        <w:t xml:space="preserve">4</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份，乙方执</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u w:val="single"/>
          <w:shd w:val="clear" w:color="auto" w:fill="auto"/>
          <w:lang w:val="en-US" w:eastAsia="zh-CN"/>
          <w14:textFill>
            <w14:solidFill>
              <w14:schemeClr w14:val="tx1"/>
            </w14:solidFill>
          </w14:textFill>
        </w:rPr>
        <w:t xml:space="preserve">2</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合同订立时间：</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年</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月</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rPr>
          <w:rFonts w:hint="eastAsia" w:ascii="宋体" w:hAnsi="宋体"/>
          <w:color w:val="000000" w:themeColor="text1"/>
          <w:szCs w:val="21"/>
          <w:highlight w:val="none"/>
          <w:shd w:val="clear" w:color="auto" w:fill="auto"/>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合同订立地点：</w:t>
      </w:r>
      <w:r>
        <w:rPr>
          <w:rFonts w:hint="eastAsia" w:ascii="宋体" w:hAnsi="宋体"/>
          <w:color w:val="000000" w:themeColor="text1"/>
          <w:szCs w:val="21"/>
          <w:highlight w:val="none"/>
          <w:u w:val="single"/>
          <w:shd w:val="clear" w:color="auto" w:fill="auto"/>
          <w14:textFill>
            <w14:solidFill>
              <w14:schemeClr w14:val="tx1"/>
            </w14:solidFill>
          </w14:textFill>
        </w:rPr>
        <w:t xml:space="preserve">                           </w:t>
      </w:r>
      <w:r/>
    </w:p>
    <w:p>
      <w:pPr>
        <w:ind w:firstLine="420"/>
        <w:spacing w:line="400" w:lineRule="exact"/>
        <w:rPr>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附件：具体标的及其技术要求和商务要求、联合协议、分包意向协议等。</w:t>
      </w:r>
      <w:r/>
    </w:p>
    <w:p>
      <w:pPr>
        <w:ind w:firstLine="480"/>
        <w:jc w:val="left"/>
        <w:spacing w:line="360" w:lineRule="auto"/>
        <w:rPr>
          <w:rFonts w:ascii="宋体" w:hAnsi="宋体"/>
          <w:color w:val="000000" w:themeColor="text1"/>
          <w:sz w:val="24"/>
          <w:highlight w:val="none"/>
          <w:u w:val="single"/>
          <w:shd w:val="clear" w:color="auto" w:fill="auto"/>
          <w14:textFill>
            <w14:solidFill>
              <w14:schemeClr w14:val="tx1"/>
            </w14:solidFill>
          </w14:textFill>
        </w:rPr>
      </w:pPr>
      <w:r>
        <w:rPr>
          <w:rFonts w:ascii="宋体" w:hAnsi="宋体"/>
          <w:color w:val="000000" w:themeColor="text1"/>
          <w:sz w:val="24"/>
          <w:highlight w:val="none"/>
          <w:u w:val="single"/>
          <w:shd w:val="clear" w:color="auto" w:fill="auto"/>
          <w14:textFill>
            <w14:solidFill>
              <w14:schemeClr w14:val="tx1"/>
            </w14:solidFill>
          </w14:textFill>
        </w:rPr>
      </w:r>
      <w:r/>
    </w:p>
    <w:p>
      <w:pPr>
        <w:ind w:firstLine="420"/>
        <w:spacing w:line="360" w:lineRule="auto"/>
        <w:rPr>
          <w:color w:val="000000" w:themeColor="text1"/>
          <w:szCs w:val="21"/>
          <w:highlight w:val="none"/>
          <w:shd w:val="clear" w:color="auto" w:fill="auto"/>
          <w14:textFill>
            <w14:solidFill>
              <w14:schemeClr w14:val="tx1"/>
            </w14:solidFill>
          </w14:textFill>
        </w:rPr>
      </w:pPr>
      <w:r>
        <w:rPr>
          <w:color w:val="000000" w:themeColor="text1"/>
          <w:szCs w:val="21"/>
          <w:highlight w:val="none"/>
          <w:shd w:val="clear" w:color="auto" w:fill="auto"/>
          <w14:textFill>
            <w14:solidFill>
              <w14:schemeClr w14:val="tx1"/>
            </w14:solidFill>
          </w14:textFill>
        </w:rPr>
      </w:r>
      <w:r/>
    </w:p>
    <w:tbl>
      <w:tblPr>
        <w:tblStyle w:val="773"/>
        <w:tblW w:w="4926"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3"/>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甲方</w:t>
            </w:r>
            <w:r>
              <w:rPr>
                <w:rFonts w:hint="eastAsia"/>
                <w:color w:val="000000" w:themeColor="text1"/>
                <w:sz w:val="24"/>
                <w:highlight w:val="none"/>
                <w:shd w:val="clear" w:color="auto" w:fill="auto"/>
                <w14:textFill>
                  <w14:solidFill>
                    <w14:schemeClr w14:val="tx1"/>
                  </w14:solidFill>
                </w14:textFill>
              </w:rPr>
              <w:t xml:space="preserve">（采购人</w:t>
            </w:r>
            <w:r>
              <w:rPr>
                <w:rFonts w:hint="eastAsia" w:ascii="宋体" w:hAnsi="宋体"/>
                <w:color w:val="000000" w:themeColor="text1"/>
                <w:sz w:val="24"/>
                <w:highlight w:val="none"/>
                <w:shd w:val="clear" w:color="auto" w:fill="auto"/>
                <w14:textFill>
                  <w14:solidFill>
                    <w14:schemeClr w14:val="tx1"/>
                  </w14:solidFill>
                </w14:textFill>
              </w:rPr>
              <w:t xml:space="preserve">、受采购人委托签订合同的单位或</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color w:val="000000" w:themeColor="text1"/>
                <w:sz w:val="24"/>
                <w:highlight w:val="none"/>
                <w:shd w:val="clear" w:color="auto" w:fill="auto"/>
                <w14:textFill>
                  <w14:solidFill>
                    <w14:schemeClr w14:val="tx1"/>
                  </w14:solidFill>
                </w14:textFill>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乙方</w:t>
            </w:r>
            <w:r>
              <w:rPr>
                <w:rFonts w:hint="eastAsia"/>
                <w:color w:val="000000" w:themeColor="text1"/>
                <w:sz w:val="24"/>
                <w:highlight w:val="none"/>
                <w:shd w:val="clear" w:color="auto" w:fill="auto"/>
                <w14:textFill>
                  <w14:solidFill>
                    <w14:schemeClr w14:val="tx1"/>
                  </w14:solidFill>
                </w14:textFill>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单位名称</w:t>
            </w:r>
            <w:r>
              <w:rPr>
                <w:rFonts w:hint="eastAsia"/>
                <w:color w:val="000000" w:themeColor="text1"/>
                <w:sz w:val="24"/>
                <w:highlight w:val="none"/>
                <w:shd w:val="clear" w:color="auto" w:fill="auto"/>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单位名称</w:t>
            </w:r>
            <w:r>
              <w:rPr>
                <w:rFonts w:hint="eastAsia"/>
                <w:color w:val="000000" w:themeColor="text1"/>
                <w:sz w:val="24"/>
                <w:highlight w:val="none"/>
                <w:shd w:val="clear" w:color="auto" w:fill="auto"/>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法定代表人</w:t>
            </w:r>
            <w:r/>
          </w:p>
          <w:p>
            <w:pPr>
              <w:ind w:firstLine="115"/>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或其</w:t>
            </w:r>
            <w:r>
              <w:rPr>
                <w:color w:val="000000" w:themeColor="text1"/>
                <w:sz w:val="24"/>
                <w:highlight w:val="none"/>
                <w:shd w:val="clear" w:color="auto" w:fill="auto"/>
                <w14:textFill>
                  <w14:solidFill>
                    <w14:schemeClr w14:val="tx1"/>
                  </w14:solidFill>
                </w14:textFill>
              </w:rPr>
              <w:t xml:space="preserve">委托代理人</w:t>
            </w:r>
            <w:r>
              <w:rPr>
                <w:rFonts w:hint="eastAsia"/>
                <w:color w:val="000000" w:themeColor="text1"/>
                <w:sz w:val="24"/>
                <w:highlight w:val="none"/>
                <w:shd w:val="clear" w:color="auto" w:fill="auto"/>
                <w14:textFill>
                  <w14:solidFill>
                    <w14:schemeClr w14:val="tx1"/>
                  </w14:solidFill>
                </w14:textFill>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法定代表人</w:t>
            </w:r>
            <w:r/>
          </w:p>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或其</w:t>
            </w:r>
            <w:r>
              <w:rPr>
                <w:color w:val="000000" w:themeColor="text1"/>
                <w:sz w:val="24"/>
                <w:highlight w:val="none"/>
                <w:shd w:val="clear" w:color="auto" w:fill="auto"/>
                <w14:textFill>
                  <w14:solidFill>
                    <w14:schemeClr w14:val="tx1"/>
                  </w14:solidFill>
                </w14:textFill>
              </w:rPr>
              <w:t xml:space="preserve">委托代理人</w:t>
            </w:r>
            <w:r>
              <w:rPr>
                <w:rFonts w:hint="eastAsia"/>
                <w:color w:val="000000" w:themeColor="text1"/>
                <w:sz w:val="24"/>
                <w:highlight w:val="none"/>
                <w:shd w:val="clear" w:color="auto" w:fill="auto"/>
                <w14:textFill>
                  <w14:solidFill>
                    <w14:schemeClr w14:val="tx1"/>
                  </w14:solidFill>
                </w14:textFill>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shd w:val="clear" w:color="auto" w:fill="auto"/>
              </w:rPr>
            </w:pPr>
            <w:r>
              <w:rPr>
                <w:color w:val="auto"/>
                <w:sz w:val="24"/>
                <w:highlight w:val="none"/>
                <w:shd w:val="clear" w:color="auto" w:fill="auto"/>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shd w:val="clear" w:color="auto" w:fill="auto"/>
              </w:rPr>
            </w:pPr>
            <w:r>
              <w:rPr>
                <w:color w:val="auto"/>
                <w:sz w:val="24"/>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highlight w:val="none"/>
                <w:shd w:val="clear" w:color="auto" w:fill="auto"/>
                <w14:textFill>
                  <w14:solidFill>
                    <w14:schemeClr w14:val="tx1"/>
                  </w14:solidFill>
                </w14:textFill>
              </w:rPr>
            </w:pPr>
            <w:r>
              <w:rPr>
                <w:color w:val="000000" w:themeColor="text1"/>
                <w:spacing w:val="20"/>
                <w:sz w:val="24"/>
                <w:highlight w:val="none"/>
                <w:shd w:val="clear" w:color="auto" w:fill="auto"/>
                <w14:textFill>
                  <w14:solidFill>
                    <w14:schemeClr w14:val="tx1"/>
                  </w14:solidFill>
                </w14:textFill>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000000" w:themeColor="text1"/>
                <w:spacing w:val="20"/>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注：涉及联合体或其他合同主体的信息应按上表格式加列。</w:t>
            </w:r>
            <w:r/>
          </w:p>
        </w:tc>
      </w:tr>
    </w:tbl>
    <w:p>
      <w:pPr>
        <w:pStyle w:val="764"/>
        <w:jc w:val="center"/>
        <w:spacing w:before="156"/>
        <w:rPr>
          <w:rFonts w:ascii="黑体" w:hAnsi="黑体" w:eastAsia="黑体"/>
          <w:color w:val="000000" w:themeColor="text1"/>
          <w:sz w:val="28"/>
          <w:szCs w:val="28"/>
          <w:highlight w:val="none"/>
          <w:shd w:val="clear" w:color="auto" w:fill="auto"/>
          <w14:textFill>
            <w14:solidFill>
              <w14:schemeClr w14:val="tx1"/>
            </w14:solidFill>
          </w14:textFill>
        </w:rPr>
      </w:pPr>
      <w:r>
        <w:rPr>
          <w:rFonts w:ascii="宋体" w:hAnsi="宋体"/>
          <w:color w:val="000000" w:themeColor="text1"/>
          <w:highlight w:val="none"/>
          <w:u w:val="single"/>
          <w:shd w:val="clear" w:color="auto" w:fill="auto"/>
          <w14:textFill>
            <w14:solidFill>
              <w14:schemeClr w14:val="tx1"/>
            </w14:solidFill>
          </w14:textFill>
        </w:rPr>
        <w:br w:type="page" w:clear="all"/>
      </w:r>
      <w:bookmarkStart w:id="137" w:name="_Toc27624"/>
      <w:r/>
      <w:bookmarkStart w:id="138" w:name="_Toc20313"/>
      <w:r>
        <w:rPr>
          <w:rFonts w:hint="eastAsia" w:ascii="黑体" w:hAnsi="黑体" w:eastAsia="黑体"/>
          <w:b w:val="0"/>
          <w:bCs w:val="0"/>
          <w:color w:val="000000" w:themeColor="text1"/>
          <w:sz w:val="28"/>
          <w:szCs w:val="28"/>
          <w:highlight w:val="none"/>
          <w:shd w:val="clear" w:color="auto" w:fill="auto"/>
          <w14:textFill>
            <w14:solidFill>
              <w14:schemeClr w14:val="tx1"/>
            </w14:solidFill>
          </w14:textFill>
        </w:rPr>
        <w:t xml:space="preserve">第二节 政府采购合同通用条款</w:t>
      </w:r>
      <w:bookmarkEnd w:id="137"/>
      <w:r/>
      <w:r/>
    </w:p>
    <w:p>
      <w:pPr>
        <w:jc w:val="left"/>
        <w:spacing w:line="400" w:lineRule="exact"/>
        <w:tabs>
          <w:tab w:val="left" w:pos="8820" w:leader="none"/>
          <w:tab w:val="left" w:pos="9345" w:leader="none"/>
          <w:tab w:val="left" w:pos="9765" w:leader="none"/>
        </w:tabs>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 </w:t>
      </w:r>
      <w:r>
        <w:rPr>
          <w:rFonts w:hint="eastAsia" w:ascii="宋体" w:hAnsi="宋体"/>
          <w:b/>
          <w:bCs/>
          <w:color w:val="000000" w:themeColor="text1"/>
          <w:sz w:val="24"/>
          <w:highlight w:val="none"/>
          <w:shd w:val="clear" w:color="auto" w:fill="auto"/>
          <w14:textFill>
            <w14:solidFill>
              <w14:schemeClr w14:val="tx1"/>
            </w14:solidFill>
          </w14:textFill>
        </w:rPr>
        <w:t xml:space="preserve">定义</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1.1合同当事人</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shd w:val="clear" w:color="auto" w:fill="auto"/>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1.2本合同下列术语应解释为：</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（1）“合同”系指</w:t>
      </w:r>
      <w:r>
        <w:rPr>
          <w:rFonts w:hint="eastAsia" w:ascii="宋体" w:hAnsi="宋体" w:cs="宋体"/>
          <w:bCs/>
          <w:color w:val="000000" w:themeColor="text1"/>
          <w:szCs w:val="21"/>
          <w:highlight w:val="none"/>
          <w:shd w:val="clear" w:color="auto" w:fill="auto"/>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shd w:val="clear" w:color="auto" w:fill="auto"/>
          <w14:textFill>
            <w14:solidFill>
              <w14:schemeClr w14:val="tx1"/>
            </w14:solidFill>
          </w14:textFill>
        </w:rPr>
        <w:t xml:space="preserve">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文件，有关技术文件和图纸，以及</w:t>
      </w:r>
      <w:r>
        <w:rPr>
          <w:rFonts w:hint="eastAsia" w:ascii="宋体" w:hAnsi="宋体" w:cs="宋体"/>
          <w:color w:val="000000" w:themeColor="text1"/>
          <w:szCs w:val="21"/>
          <w:highlight w:val="none"/>
          <w:shd w:val="clear" w:color="auto" w:fill="auto"/>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（3）“货物”系指乙方根据本合同规定须向甲方提供的各种形态和种类的物品，包括原材料、设备、产品（包括软件）及相关</w:t>
      </w:r>
      <w:r>
        <w:rPr>
          <w:rFonts w:hint="eastAsia" w:ascii="宋体" w:hAnsi="宋体"/>
          <w:color w:val="000000" w:themeColor="text1"/>
          <w:szCs w:val="21"/>
          <w:highlight w:val="none"/>
          <w:shd w:val="clear" w:color="auto" w:fill="auto"/>
          <w:lang w:eastAsia="zh-CN"/>
          <w14:textFill>
            <w14:solidFill>
              <w14:schemeClr w14:val="tx1"/>
            </w14:solidFill>
          </w14:textFill>
        </w:rPr>
        <w:t xml:space="preserve">的</w:t>
      </w:r>
      <w:r>
        <w:rPr>
          <w:rFonts w:hint="eastAsia" w:ascii="宋体" w:hAnsi="宋体"/>
          <w:color w:val="000000" w:themeColor="text1"/>
          <w:szCs w:val="21"/>
          <w:highlight w:val="none"/>
          <w:shd w:val="clear" w:color="auto" w:fill="auto"/>
          <w14:textFill>
            <w14:solidFill>
              <w14:schemeClr w14:val="tx1"/>
            </w14:solidFill>
          </w14:textFill>
        </w:rPr>
        <w:t xml:space="preserve">备品备件、工具、手册及</w:t>
      </w:r>
      <w:r>
        <w:rPr>
          <w:rFonts w:hint="eastAsia" w:ascii="宋体" w:hAnsi="宋体"/>
          <w:color w:val="000000" w:themeColor="text1"/>
          <w:szCs w:val="21"/>
          <w:highlight w:val="none"/>
          <w:shd w:val="clear" w:color="auto" w:fill="auto"/>
          <w:lang w:val="en"/>
          <w14:textFill>
            <w14:solidFill>
              <w14:schemeClr w14:val="tx1"/>
            </w14:solidFill>
          </w14:textFill>
        </w:rPr>
        <w:t xml:space="preserve">其他</w:t>
      </w:r>
      <w:r>
        <w:rPr>
          <w:rFonts w:hint="eastAsia" w:ascii="宋体" w:hAnsi="宋体"/>
          <w:color w:val="000000" w:themeColor="text1"/>
          <w:szCs w:val="21"/>
          <w:highlight w:val="none"/>
          <w:shd w:val="clear" w:color="auto" w:fill="auto"/>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（4）“相关服务”系指根据合同规定，乙方应提供的与货物有关的技术、管理和</w:t>
      </w:r>
      <w:r>
        <w:rPr>
          <w:rFonts w:hint="eastAsia" w:ascii="宋体" w:hAnsi="宋体"/>
          <w:color w:val="000000" w:themeColor="text1"/>
          <w:szCs w:val="21"/>
          <w:highlight w:val="none"/>
          <w:shd w:val="clear" w:color="auto" w:fill="auto"/>
          <w:lang w:val="en"/>
          <w14:textFill>
            <w14:solidFill>
              <w14:schemeClr w14:val="tx1"/>
            </w14:solidFill>
          </w14:textFill>
        </w:rPr>
        <w:t xml:space="preserve">其他</w:t>
      </w:r>
      <w:r>
        <w:rPr>
          <w:rFonts w:hint="eastAsia" w:ascii="宋体" w:hAnsi="宋体"/>
          <w:color w:val="000000" w:themeColor="text1"/>
          <w:szCs w:val="21"/>
          <w:highlight w:val="none"/>
          <w:shd w:val="clear" w:color="auto" w:fill="auto"/>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shd w:val="clear" w:color="auto" w:fill="auto"/>
          <w:lang w:val="en"/>
          <w14:textFill>
            <w14:solidFill>
              <w14:schemeClr w14:val="tx1"/>
            </w14:solidFill>
          </w14:textFill>
        </w:rPr>
        <w:t xml:space="preserve">其他</w:t>
      </w:r>
      <w:r>
        <w:rPr>
          <w:rFonts w:hint="eastAsia" w:ascii="宋体" w:hAnsi="宋体"/>
          <w:color w:val="000000" w:themeColor="text1"/>
          <w:szCs w:val="21"/>
          <w:highlight w:val="none"/>
          <w:shd w:val="clear" w:color="auto" w:fill="auto"/>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（5）“分包”系指中标（成交）供应商按</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（7）其他术语解释，见【</w:t>
      </w:r>
      <w:r>
        <w:rPr>
          <w:rFonts w:hint="eastAsia" w:ascii="宋体" w:hAnsi="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shd w:val="clear" w:color="auto" w:fill="auto"/>
          <w:lang w:val="en"/>
          <w14:textFill>
            <w14:solidFill>
              <w14:schemeClr w14:val="tx1"/>
            </w14:solidFill>
          </w14:textFill>
        </w:rPr>
        <w:t xml:space="preserve">其他</w:t>
      </w:r>
      <w:r>
        <w:rPr>
          <w:rFonts w:hint="eastAsia" w:ascii="宋体" w:hAnsi="宋体"/>
          <w:color w:val="000000" w:themeColor="text1"/>
          <w:szCs w:val="21"/>
          <w:highlight w:val="none"/>
          <w:shd w:val="clear" w:color="auto" w:fill="auto"/>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3.1 </w:t>
      </w:r>
      <w:r>
        <w:rPr>
          <w:rFonts w:hint="eastAsia" w:ascii="宋体" w:hAnsi="宋体" w:cs="宋体"/>
          <w:color w:val="000000" w:themeColor="text1"/>
          <w:szCs w:val="21"/>
          <w:highlight w:val="none"/>
          <w:shd w:val="clear" w:color="auto" w:fill="auto"/>
          <w14:textFill>
            <w14:solidFill>
              <w14:schemeClr w14:val="tx1"/>
            </w14:solidFill>
          </w14:textFill>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4.4 甲方应当按照合同约定及时对交付的货物进行验收，</w:t>
      </w:r>
      <w:r>
        <w:rPr>
          <w:rFonts w:hint="eastAsia" w:ascii="宋体" w:hAnsi="宋体" w:cs="宋体"/>
          <w:color w:val="000000" w:themeColor="text1"/>
          <w:szCs w:val="21"/>
          <w:highlight w:val="none"/>
          <w:shd w:val="clear" w:color="auto" w:fill="auto"/>
          <w14:textFill>
            <w14:solidFill>
              <w14:schemeClr w14:val="tx1"/>
            </w14:solidFill>
          </w14:textFill>
        </w:rPr>
        <w:t xml:space="preserve">未</w:t>
      </w:r>
      <w:r>
        <w:rPr>
          <w:rFonts w:hint="eastAsia" w:ascii="宋体" w:hAnsi="宋体"/>
          <w:color w:val="000000" w:themeColor="text1"/>
          <w:szCs w:val="21"/>
          <w:highlight w:val="none"/>
          <w:shd w:val="clear" w:color="auto" w:fill="auto"/>
          <w14:textFill>
            <w14:solidFill>
              <w14:schemeClr w14:val="tx1"/>
            </w14:solidFill>
          </w14:textFill>
        </w:rPr>
        <w:t xml:space="preserve">在</w:t>
      </w:r>
      <w:r>
        <w:rPr>
          <w:rFonts w:hint="eastAsia" w:ascii="宋体" w:hAnsi="宋体" w:cs="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s="宋体"/>
          <w:color w:val="000000" w:themeColor="text1"/>
          <w:szCs w:val="21"/>
          <w:highlight w:val="none"/>
          <w:shd w:val="clear" w:color="auto" w:fill="auto"/>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shd w:val="clear" w:color="auto" w:fill="auto"/>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4.6 国家法律法规规定及</w:t>
      </w:r>
      <w:r>
        <w:rPr>
          <w:rFonts w:hint="eastAsia" w:ascii="宋体" w:hAnsi="宋体" w:cs="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8"/>
        <w:ind w:firstLine="369"/>
        <w:spacing w:after="0" w:line="400" w:lineRule="exact"/>
        <w:rPr>
          <w:rFonts w:hint="eastAsia" w:ascii="宋体" w:hAnsi="宋体" w:cs="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5.3乙方有权</w:t>
      </w:r>
      <w:r>
        <w:rPr>
          <w:rFonts w:hint="eastAsia" w:ascii="宋体" w:hAnsi="宋体" w:cs="宋体"/>
          <w:color w:val="000000" w:themeColor="text1"/>
          <w:szCs w:val="21"/>
          <w:highlight w:val="none"/>
          <w:shd w:val="clear" w:color="auto" w:fill="auto"/>
          <w14:textFill>
            <w14:solidFill>
              <w14:schemeClr w14:val="tx1"/>
            </w14:solidFill>
          </w14:textFill>
        </w:rPr>
        <w:t xml:space="preserve">根据合同约定向甲方收取合同价款。</w:t>
      </w:r>
      <w:r/>
    </w:p>
    <w:p>
      <w:pPr>
        <w:pStyle w:val="778"/>
        <w:ind w:firstLine="369"/>
        <w:spacing w:after="0" w:line="400" w:lineRule="exact"/>
        <w:rPr>
          <w:rFonts w:hint="eastAsia" w:ascii="宋体" w:hAnsi="宋体" w:cs="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5.4</w:t>
      </w:r>
      <w:r>
        <w:rPr>
          <w:rFonts w:hint="eastAsia" w:ascii="宋体" w:hAnsi="宋体" w:cs="宋体"/>
          <w:color w:val="000000" w:themeColor="text1"/>
          <w:szCs w:val="21"/>
          <w:highlight w:val="none"/>
          <w:shd w:val="clear" w:color="auto" w:fill="auto"/>
          <w14:textFill>
            <w14:solidFill>
              <w14:schemeClr w14:val="tx1"/>
            </w14:solidFill>
          </w14:textFill>
        </w:rPr>
        <w:t xml:space="preserve">国家法律法规规定</w:t>
      </w:r>
      <w:r>
        <w:rPr>
          <w:rFonts w:hint="eastAsia" w:ascii="宋体" w:hAnsi="宋体"/>
          <w:color w:val="000000" w:themeColor="text1"/>
          <w:szCs w:val="21"/>
          <w:highlight w:val="none"/>
          <w:shd w:val="clear" w:color="auto" w:fill="auto"/>
          <w14:textFill>
            <w14:solidFill>
              <w14:schemeClr w14:val="tx1"/>
            </w14:solidFill>
          </w14:textFill>
        </w:rPr>
        <w:t xml:space="preserve">及</w:t>
      </w:r>
      <w:r>
        <w:rPr>
          <w:rFonts w:hint="eastAsia" w:ascii="宋体" w:hAnsi="宋体" w:cs="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s="宋体"/>
          <w:color w:val="000000" w:themeColor="text1"/>
          <w:szCs w:val="21"/>
          <w:highlight w:val="none"/>
          <w:shd w:val="clear" w:color="auto" w:fill="auto"/>
          <w14:textFill>
            <w14:solidFill>
              <w14:schemeClr w14:val="tx1"/>
            </w14:solidFill>
          </w14:textFill>
        </w:rPr>
        <w:t xml:space="preserve">约定应由乙方承担的其他义务和责任。</w:t>
      </w:r>
      <w:r/>
    </w:p>
    <w:p>
      <w:pPr>
        <w:numPr>
          <w:ilvl w:val="0"/>
          <w:numId w:val="5"/>
        </w:num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6.1 甲乙双方应当按照</w:t>
      </w:r>
      <w:r>
        <w:rPr>
          <w:rFonts w:hint="eastAsia" w:ascii="宋体" w:hAnsi="宋体" w:cs="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7.1 本合同</w:t>
      </w:r>
      <w:r>
        <w:rPr>
          <w:rFonts w:hint="eastAsia" w:ascii="宋体" w:hAnsi="宋体"/>
          <w:bCs/>
          <w:color w:val="000000" w:themeColor="text1"/>
          <w:szCs w:val="21"/>
          <w:highlight w:val="none"/>
          <w:shd w:val="clear" w:color="auto" w:fill="auto"/>
          <w14:textFill>
            <w14:solidFill>
              <w14:schemeClr w14:val="tx1"/>
            </w14:solidFill>
          </w14:textFill>
        </w:rPr>
        <w:t xml:space="preserve">涉及商品包装、快递包装的，</w:t>
      </w:r>
      <w:r>
        <w:rPr>
          <w:rFonts w:hint="eastAsia" w:ascii="宋体" w:hAnsi="宋体"/>
          <w:color w:val="000000" w:themeColor="text1"/>
          <w:szCs w:val="21"/>
          <w:highlight w:val="none"/>
          <w:shd w:val="clear" w:color="auto" w:fill="auto"/>
          <w14:textFill>
            <w14:solidFill>
              <w14:schemeClr w14:val="tx1"/>
            </w14:solidFill>
          </w14:textFill>
        </w:rPr>
        <w:t xml:space="preserve">除</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另有约定外，</w:t>
      </w:r>
      <w:r>
        <w:rPr>
          <w:rFonts w:hint="eastAsia" w:ascii="宋体" w:hAnsi="宋体"/>
          <w:color w:val="000000" w:themeColor="text1"/>
          <w:szCs w:val="21"/>
          <w:highlight w:val="none"/>
          <w:shd w:val="clear" w:color="auto" w:fill="auto"/>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约定的</w:t>
      </w:r>
      <w:r>
        <w:rPr>
          <w:rFonts w:hint="eastAsia" w:ascii="宋体" w:hAnsi="宋体"/>
          <w:color w:val="000000" w:themeColor="text1"/>
          <w:szCs w:val="21"/>
          <w:highlight w:val="none"/>
          <w:shd w:val="clear" w:color="auto" w:fill="auto"/>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7.2 除</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另有约定外，</w:t>
      </w:r>
      <w:r>
        <w:rPr>
          <w:rFonts w:hint="eastAsia" w:ascii="宋体" w:hAnsi="宋体"/>
          <w:color w:val="000000" w:themeColor="text1"/>
          <w:szCs w:val="21"/>
          <w:highlight w:val="none"/>
          <w:shd w:val="clear" w:color="auto" w:fill="auto"/>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7.3 货物保险要求按</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规定执行</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7.4 除采购活动对商品包装、快递包装达成具体约定外，乙方提</w:t>
      </w:r>
      <w:r>
        <w:rPr>
          <w:rFonts w:hint="eastAsia" w:ascii="宋体" w:hAnsi="宋体"/>
          <w:color w:val="000000" w:themeColor="text1"/>
          <w:szCs w:val="21"/>
          <w:highlight w:val="none"/>
          <w:shd w:val="clear" w:color="auto" w:fill="auto"/>
          <w:lang w:eastAsia="zh-CN"/>
          <w14:textFill>
            <w14:solidFill>
              <w14:schemeClr w14:val="tx1"/>
            </w14:solidFill>
          </w14:textFill>
        </w:rPr>
        <w:t xml:space="preserve">供的</w:t>
      </w:r>
      <w:r>
        <w:rPr>
          <w:rFonts w:hint="eastAsia" w:ascii="宋体" w:hAnsi="宋体"/>
          <w:color w:val="000000" w:themeColor="text1"/>
          <w:szCs w:val="21"/>
          <w:highlight w:val="none"/>
          <w:shd w:val="clear" w:color="auto" w:fill="auto"/>
          <w14:textFill>
            <w14:solidFill>
              <w14:schemeClr w14:val="tx1"/>
            </w14:solidFill>
          </w14:textFill>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7.5 </w:t>
      </w:r>
      <w:r>
        <w:rPr>
          <w:rFonts w:hint="eastAsia" w:ascii="宋体" w:hAnsi="宋体" w:cs="宋体"/>
          <w:color w:val="000000" w:themeColor="text1"/>
          <w:szCs w:val="21"/>
          <w:highlight w:val="none"/>
          <w:shd w:val="clear" w:color="auto" w:fill="auto"/>
          <w14:textFill>
            <w14:solidFill>
              <w14:schemeClr w14:val="tx1"/>
            </w14:solidFill>
          </w14:textFill>
        </w:rPr>
        <w:t xml:space="preserve">乙方在运输到达之前应提前通知甲方，并提示货物运输装卸的注意事项，甲方配合乙方做好货物的接收工作。</w:t>
      </w:r>
      <w:r/>
    </w:p>
    <w:p>
      <w:pPr>
        <w:pStyle w:val="965"/>
        <w:ind w:firstLine="420"/>
        <w:rPr>
          <w:rFonts w:hint="eastAsia"/>
          <w:color w:val="000000" w:themeColor="text1"/>
          <w:sz w:val="21"/>
          <w:highlight w:val="none"/>
          <w:shd w:val="clear" w:color="auto" w:fill="auto"/>
          <w14:textFill>
            <w14:solidFill>
              <w14:schemeClr w14:val="tx1"/>
            </w14:solidFill>
          </w14:textFill>
        </w:rPr>
      </w:pPr>
      <w:r>
        <w:rPr>
          <w:rFonts w:hint="eastAsia" w:ascii="宋体" w:hAnsi="宋体" w:eastAsia="宋体" w:cs="Times New Roman"/>
          <w:color w:val="000000" w:themeColor="text1"/>
          <w:sz w:val="21"/>
          <w:highlight w:val="none"/>
          <w:shd w:val="clear" w:color="auto" w:fill="auto"/>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8. 质量标准和保证</w:t>
      </w:r>
      <w:r/>
    </w:p>
    <w:p>
      <w:pPr>
        <w:pStyle w:val="781"/>
        <w:ind w:firstLine="420"/>
        <w:jc w:val="left"/>
        <w:spacing w:line="400" w:lineRule="exact"/>
        <w:rPr>
          <w:rFonts w:hint="eastAsia" w:hAnsi="宋体"/>
          <w:b/>
          <w:color w:val="000000" w:themeColor="text1"/>
          <w:highlight w:val="none"/>
          <w:shd w:val="clear" w:color="auto" w:fill="auto"/>
          <w14:textFill>
            <w14:solidFill>
              <w14:schemeClr w14:val="tx1"/>
            </w14:solidFill>
          </w14:textFill>
        </w:rPr>
      </w:pPr>
      <w:r>
        <w:rPr>
          <w:rFonts w:hint="eastAsia" w:hAnsi="宋体"/>
          <w:color w:val="000000" w:themeColor="text1"/>
          <w:highlight w:val="none"/>
          <w:shd w:val="clear" w:color="auto" w:fill="auto"/>
          <w14:textFill>
            <w14:solidFill>
              <w14:schemeClr w14:val="tx1"/>
            </w14:solidFill>
          </w14:textFill>
        </w:rPr>
        <w:t xml:space="preserve">8.1 质量标准</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shd w:val="clear" w:color="auto" w:fill="auto"/>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shd w:val="clear" w:color="auto" w:fill="auto"/>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1"/>
        <w:ind w:firstLine="420"/>
        <w:jc w:val="left"/>
        <w:spacing w:line="400" w:lineRule="exact"/>
        <w:rPr>
          <w:rFonts w:hint="eastAsia" w:hAnsi="宋体"/>
          <w:color w:val="000000" w:themeColor="text1"/>
          <w:highlight w:val="none"/>
          <w:shd w:val="clear" w:color="auto" w:fill="auto"/>
          <w14:textFill>
            <w14:solidFill>
              <w14:schemeClr w14:val="tx1"/>
            </w14:solidFill>
          </w14:textFill>
        </w:rPr>
      </w:pPr>
      <w:r>
        <w:rPr>
          <w:rFonts w:hint="eastAsia" w:hAnsi="宋体"/>
          <w:color w:val="000000" w:themeColor="text1"/>
          <w:highlight w:val="none"/>
          <w:shd w:val="clear" w:color="auto" w:fill="auto"/>
          <w14:textFill>
            <w14:solidFill>
              <w14:schemeClr w14:val="tx1"/>
            </w14:solidFill>
          </w14:textFill>
        </w:rPr>
        <w:t xml:space="preserve">（2）采用中华人民共和国法定计量单位。</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（3）乙方所提供的货物应符合国家有关安全、环保、卫生的规定。</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8.2 保证</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shd w:val="clear" w:color="auto" w:fill="auto"/>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shd w:val="clear" w:color="auto" w:fill="auto"/>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（2）在质量保证期内所发现的缺陷，甲方应尽快以书面形式通知乙方。</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（3）乙方收到通知后，应在</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9. 权利瑕疵担保</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9.2 </w:t>
      </w:r>
      <w:r>
        <w:rPr>
          <w:rFonts w:hint="eastAsia" w:ascii="宋体" w:hAnsi="宋体" w:cs="宋体"/>
          <w:color w:val="000000" w:themeColor="text1"/>
          <w:szCs w:val="15"/>
          <w:highlight w:val="none"/>
          <w:shd w:val="clear" w:color="auto" w:fill="auto"/>
          <w14:textFill>
            <w14:solidFill>
              <w14:schemeClr w14:val="tx1"/>
            </w14:solidFill>
          </w14:textFill>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10. 知识产权保护</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10.1 乙方对其所销售的货物应当享有知识产权或经权利人合法授权，保证没有侵犯任何第三人的知识产权等权利。</w:t>
      </w:r>
      <w:bookmarkStart w:id="139" w:name="_Hlk163047038"/>
      <w:r>
        <w:rPr>
          <w:rFonts w:hint="eastAsia" w:ascii="宋体" w:hAnsi="宋体" w:cs="宋体"/>
          <w:color w:val="000000" w:themeColor="text1"/>
          <w:szCs w:val="15"/>
          <w:highlight w:val="none"/>
          <w:shd w:val="clear" w:color="auto" w:fill="auto"/>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color w:val="000000" w:themeColor="text1"/>
          <w:szCs w:val="21"/>
          <w:highlight w:val="none"/>
          <w:shd w:val="clear" w:color="auto" w:fill="auto"/>
          <w14:textFill>
            <w14:solidFill>
              <w14:schemeClr w14:val="tx1"/>
            </w14:solidFill>
          </w14:textFill>
        </w:rPr>
        <w:t xml:space="preserve">。</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11. 保密义务</w:t>
      </w:r>
      <w:r/>
    </w:p>
    <w:p>
      <w:pPr>
        <w:ind w:firstLine="420"/>
        <w:jc w:val="left"/>
        <w:spacing w:line="400" w:lineRule="exact"/>
        <w:rPr>
          <w:rFonts w:hint="eastAsia" w:ascii="宋体" w:hAnsi="宋体" w:cs="宋体"/>
          <w:color w:val="000000" w:themeColor="text1"/>
          <w:szCs w:val="15"/>
          <w:highlight w:val="none"/>
          <w:shd w:val="clear" w:color="auto" w:fill="auto"/>
          <w14:textFill>
            <w14:solidFill>
              <w14:schemeClr w14:val="tx1"/>
            </w14:solidFill>
          </w14:textFill>
        </w:rPr>
      </w:pPr>
      <w:r>
        <w:rPr>
          <w:rFonts w:hint="eastAsia" w:ascii="宋体" w:hAnsi="宋体" w:cs="宋体"/>
          <w:color w:val="000000" w:themeColor="text1"/>
          <w:szCs w:val="15"/>
          <w:highlight w:val="none"/>
          <w:shd w:val="clear" w:color="auto" w:fill="auto"/>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shd w:val="clear" w:color="auto" w:fill="auto"/>
          <w14:textFill>
            <w14:solidFill>
              <w14:schemeClr w14:val="tx1"/>
            </w14:solidFill>
          </w14:textFill>
        </w:rPr>
        <w:t xml:space="preserve">【政府采购合同专用条款】</w:t>
      </w:r>
      <w:r>
        <w:rPr>
          <w:rFonts w:hint="eastAsia" w:ascii="宋体" w:hAnsi="宋体" w:cs="宋体"/>
          <w:color w:val="000000" w:themeColor="text1"/>
          <w:szCs w:val="15"/>
          <w:highlight w:val="none"/>
          <w:shd w:val="clear" w:color="auto" w:fill="auto"/>
          <w14:textFill>
            <w14:solidFill>
              <w14:schemeClr w14:val="tx1"/>
            </w14:solidFill>
          </w14:textFill>
        </w:rPr>
        <w:t xml:space="preserve">中约定。</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12. 合同价款支付</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12.1 合同价款支付按照国库集中支付制度及财政管理相关规定执行。</w:t>
      </w:r>
      <w:r/>
    </w:p>
    <w:p>
      <w:pPr>
        <w:pStyle w:val="764"/>
        <w:ind w:firstLine="420"/>
        <w:spacing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b w:val="0"/>
          <w:bCs w:val="0"/>
          <w:color w:val="000000" w:themeColor="text1"/>
          <w:sz w:val="21"/>
          <w:szCs w:val="21"/>
          <w:highlight w:val="none"/>
          <w:shd w:val="clear" w:color="auto" w:fill="auto"/>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b w:val="0"/>
          <w:bCs w:val="0"/>
          <w:color w:val="000000" w:themeColor="text1"/>
          <w:sz w:val="21"/>
          <w:szCs w:val="21"/>
          <w:highlight w:val="none"/>
          <w:shd w:val="clear" w:color="auto" w:fill="auto"/>
          <w14:textFill>
            <w14:solidFill>
              <w14:schemeClr w14:val="tx1"/>
            </w14:solidFill>
          </w14:textFill>
        </w:rPr>
        <w:t xml:space="preserve">文件和合同中未规定的义务作为向乙方付款的条件。具体合同价款支付时间在【</w:t>
      </w:r>
      <w:r>
        <w:rPr>
          <w:rFonts w:hint="eastAsia" w:ascii="宋体" w:hAnsi="宋体"/>
          <w:color w:val="000000" w:themeColor="text1"/>
          <w:sz w:val="21"/>
          <w:szCs w:val="21"/>
          <w:highlight w:val="none"/>
          <w:shd w:val="clear" w:color="auto" w:fill="auto"/>
          <w14:textFill>
            <w14:solidFill>
              <w14:schemeClr w14:val="tx1"/>
            </w14:solidFill>
          </w14:textFill>
        </w:rPr>
        <w:t xml:space="preserve">政府采购合同专用条款</w:t>
      </w:r>
      <w:r>
        <w:rPr>
          <w:rFonts w:hint="eastAsia" w:ascii="宋体" w:hAnsi="宋体"/>
          <w:b w:val="0"/>
          <w:bCs w:val="0"/>
          <w:color w:val="000000" w:themeColor="text1"/>
          <w:sz w:val="21"/>
          <w:szCs w:val="21"/>
          <w:highlight w:val="none"/>
          <w:shd w:val="clear" w:color="auto" w:fill="auto"/>
          <w14:textFill>
            <w14:solidFill>
              <w14:schemeClr w14:val="tx1"/>
            </w14:solidFill>
          </w14:textFill>
        </w:rPr>
        <w:t xml:space="preserve">】中约定。</w:t>
      </w:r>
      <w:r/>
    </w:p>
    <w:p>
      <w:pPr>
        <w:pStyle w:val="778"/>
        <w:spacing w:after="0" w:line="400" w:lineRule="exact"/>
        <w:rPr>
          <w:rFonts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13. 履约保证金</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13.1 </w:t>
      </w:r>
      <w:r>
        <w:rPr>
          <w:rFonts w:hint="eastAsia" w:ascii="宋体" w:hAnsi="宋体" w:cs="宋体"/>
          <w:color w:val="000000" w:themeColor="text1"/>
          <w:szCs w:val="15"/>
          <w:highlight w:val="none"/>
          <w:shd w:val="clear" w:color="auto" w:fill="auto"/>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13.2 如果乙方出现</w:t>
      </w:r>
      <w:r>
        <w:rPr>
          <w:rFonts w:hint="eastAsia" w:ascii="宋体" w:hAnsi="宋体" w:cs="宋体"/>
          <w:b/>
          <w:bCs/>
          <w:color w:val="000000" w:themeColor="text1"/>
          <w:szCs w:val="15"/>
          <w:highlight w:val="none"/>
          <w:shd w:val="clear" w:color="auto" w:fill="auto"/>
          <w14:textFill>
            <w14:solidFill>
              <w14:schemeClr w14:val="tx1"/>
            </w14:solidFill>
          </w14:textFill>
        </w:rPr>
        <w:t xml:space="preserve">【政府采购合同专用条款】</w:t>
      </w:r>
      <w:r>
        <w:rPr>
          <w:rFonts w:hint="eastAsia" w:ascii="宋体" w:hAnsi="宋体" w:cs="宋体"/>
          <w:color w:val="000000" w:themeColor="text1"/>
          <w:szCs w:val="15"/>
          <w:highlight w:val="none"/>
          <w:shd w:val="clear" w:color="auto" w:fill="auto"/>
          <w14:textFill>
            <w14:solidFill>
              <w14:schemeClr w14:val="tx1"/>
            </w14:solidFill>
          </w14:textFill>
        </w:rPr>
        <w:t xml:space="preserve">约定情形的</w:t>
      </w:r>
      <w:r>
        <w:rPr>
          <w:rFonts w:hint="eastAsia" w:ascii="宋体" w:hAnsi="宋体"/>
          <w:color w:val="000000" w:themeColor="text1"/>
          <w:szCs w:val="21"/>
          <w:highlight w:val="none"/>
          <w:shd w:val="clear" w:color="auto" w:fill="auto"/>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13.3 甲方在项目通过验收后按照</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14. </w:t>
      </w:r>
      <w:r>
        <w:rPr>
          <w:rFonts w:hint="eastAsia"/>
          <w:b/>
          <w:color w:val="000000" w:themeColor="text1"/>
          <w:sz w:val="24"/>
          <w:highlight w:val="none"/>
          <w:shd w:val="clear" w:color="auto" w:fill="auto"/>
          <w14:textFill>
            <w14:solidFill>
              <w14:schemeClr w14:val="tx1"/>
            </w14:solidFill>
          </w14:textFill>
        </w:rPr>
        <w:t xml:space="preserve">售后</w:t>
      </w:r>
      <w:r>
        <w:rPr>
          <w:rFonts w:hint="eastAsia" w:ascii="宋体" w:hAnsi="宋体"/>
          <w:b/>
          <w:color w:val="000000" w:themeColor="text1"/>
          <w:sz w:val="24"/>
          <w:highlight w:val="none"/>
          <w:shd w:val="clear" w:color="auto" w:fill="auto"/>
          <w14:textFill>
            <w14:solidFill>
              <w14:schemeClr w14:val="tx1"/>
            </w14:solidFill>
          </w14:textFill>
        </w:rPr>
        <w:t xml:space="preserve">服务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（1）货物的现场移动、安装、调试、启动监督及技术支持；</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（2）提供货物组装和维修所需的专用工具和辅助材料；</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（3）在</w:t>
      </w:r>
      <w:r>
        <w:rPr>
          <w:rFonts w:hint="eastAsia" w:ascii="宋体" w:hAnsi="宋体" w:cs="宋体"/>
          <w:b/>
          <w:bCs/>
          <w:color w:val="000000" w:themeColor="text1"/>
          <w:szCs w:val="15"/>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shd w:val="clear" w:color="auto" w:fill="auto"/>
          <w14:textFill>
            <w14:solidFill>
              <w14:schemeClr w14:val="tx1"/>
            </w14:solidFill>
          </w14:textFill>
        </w:rPr>
        <w:t xml:space="preserve">；</w:t>
      </w:r>
      <w:r/>
    </w:p>
    <w:p>
      <w:pPr>
        <w:pStyle w:val="965"/>
        <w:ind w:firstLine="420"/>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shd w:val="clear" w:color="auto" w:fill="auto"/>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（6）</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规定由乙方提供的其他服务。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15. 违约责任</w:t>
      </w:r>
      <w:r/>
    </w:p>
    <w:p>
      <w:pPr>
        <w:ind w:firstLine="420"/>
        <w:jc w:val="left"/>
        <w:spacing w:line="400" w:lineRule="exact"/>
        <w:rPr>
          <w:rFonts w:hint="eastAsia" w:ascii="宋体" w:hAnsi="宋体"/>
          <w:bCs/>
          <w:color w:val="000000" w:themeColor="text1"/>
          <w:szCs w:val="21"/>
          <w:highlight w:val="none"/>
          <w:shd w:val="clear" w:color="auto" w:fill="auto"/>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 xml:space="preserve">15.1质量瑕疵的违约责任</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要求</w:t>
      </w:r>
      <w:r>
        <w:rPr>
          <w:rFonts w:hint="eastAsia" w:ascii="宋体" w:hAnsi="宋体"/>
          <w:color w:val="000000" w:themeColor="text1"/>
          <w:szCs w:val="21"/>
          <w:highlight w:val="none"/>
          <w:shd w:val="clear" w:color="auto" w:fill="auto"/>
          <w14:textFill>
            <w14:solidFill>
              <w14:schemeClr w14:val="tx1"/>
            </w14:solidFill>
          </w14:textFill>
        </w:rPr>
        <w:t xml:space="preserve">及时修理、重作、更换，并承担由此给甲方造成的损失。</w:t>
      </w:r>
      <w:r/>
    </w:p>
    <w:p>
      <w:pPr>
        <w:ind w:firstLine="420"/>
        <w:jc w:val="left"/>
        <w:spacing w:line="400" w:lineRule="exact"/>
        <w:rPr>
          <w:rFonts w:hint="eastAsia" w:ascii="宋体" w:hAnsi="宋体"/>
          <w:bCs/>
          <w:color w:val="000000" w:themeColor="text1"/>
          <w:szCs w:val="21"/>
          <w:highlight w:val="none"/>
          <w:shd w:val="clear" w:color="auto" w:fill="auto"/>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 xml:space="preserve">15.2 迟延交货的违约责任</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15.3 迟延支付的违约责任</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规定的逾期付款利息。</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color w:val="000000" w:themeColor="text1"/>
          <w:szCs w:val="21"/>
          <w:highlight w:val="none"/>
          <w:shd w:val="clear" w:color="auto" w:fill="auto"/>
          <w14:textFill>
            <w14:solidFill>
              <w14:schemeClr w14:val="tx1"/>
            </w14:solidFill>
          </w14:textFill>
        </w:rPr>
        <w:t xml:space="preserve">规定执行。</w:t>
      </w:r>
      <w:r/>
    </w:p>
    <w:p>
      <w:pPr>
        <w:numPr>
          <w:ilvl w:val="0"/>
          <w:numId w:val="6"/>
        </w:numPr>
        <w:jc w:val="left"/>
        <w:spacing w:line="4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    16.1合同的变更</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16.2合同的中止</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（1）合同履行过程中因供应商就</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文件、</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过程或结果提起投诉的，甲方认为有必要的，可以中止合同的履行。</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5"/>
        <w:ind w:firstLine="420"/>
        <w:jc w:val="both"/>
        <w:rPr>
          <w:rFonts w:hint="eastAsia"/>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16.3合同的终止</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（1）合同因有效期限届满而终止；</w:t>
      </w:r>
      <w:r/>
    </w:p>
    <w:p>
      <w:pPr>
        <w:ind w:firstLine="420"/>
        <w:spacing w:line="400" w:lineRule="exact"/>
        <w:rPr>
          <w:rFonts w:hint="eastAsia" w:ascii="宋体" w:hAnsi="宋体" w:cs="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shd w:val="clear" w:color="auto" w:fill="auto"/>
          <w14:textFill>
            <w14:solidFill>
              <w14:schemeClr w14:val="tx1"/>
            </w14:solidFill>
          </w14:textFill>
        </w:rPr>
        <w:t xml:space="preserve">并追究乙方的违约责任</w:t>
      </w:r>
      <w:r>
        <w:rPr>
          <w:rFonts w:hint="eastAsia" w:ascii="宋体" w:hAnsi="宋体"/>
          <w:color w:val="000000" w:themeColor="text1"/>
          <w:szCs w:val="21"/>
          <w:highlight w:val="none"/>
          <w:shd w:val="clear" w:color="auto" w:fill="auto"/>
          <w14:textFill>
            <w14:solidFill>
              <w14:schemeClr w14:val="tx1"/>
            </w14:solidFill>
          </w14:textFill>
        </w:rPr>
        <w:t xml:space="preserve">。</w:t>
      </w:r>
      <w:r/>
    </w:p>
    <w:p>
      <w:pPr>
        <w:pStyle w:val="965"/>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16.4 </w:t>
      </w:r>
      <w:r>
        <w:rPr>
          <w:rFonts w:hint="eastAsia" w:ascii="宋体" w:hAnsi="宋体" w:eastAsia="宋体" w:cs="Times New Roman"/>
          <w:color w:val="000000" w:themeColor="text1"/>
          <w:sz w:val="21"/>
          <w:highlight w:val="none"/>
          <w:shd w:val="clear" w:color="auto" w:fill="auto"/>
          <w14:textFill>
            <w14:solidFill>
              <w14:schemeClr w14:val="tx1"/>
            </w14:solidFill>
          </w14:textFill>
        </w:rPr>
        <w:t xml:space="preserve">涉及国家利益、社会公共利益的情形</w:t>
      </w:r>
      <w:r/>
    </w:p>
    <w:p>
      <w:pPr>
        <w:pStyle w:val="965"/>
        <w:ind w:firstLine="420"/>
        <w:jc w:val="both"/>
        <w:rPr>
          <w:rFonts w:hint="eastAsia"/>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17. 合同分包</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17.1 乙方不得将合同转包给其他供应商。涉及合同分包的，乙方应根据</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文件和投标（响应）文件规定进行合同分包。</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17.2 乙方执行政府采购政策向中小企业依法分包的，乙方应当按</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Cs w:val="21"/>
          <w:highlight w:val="none"/>
          <w:shd w:val="clear" w:color="auto" w:fill="auto"/>
          <w14:textFill>
            <w14:solidFill>
              <w14:schemeClr w14:val="tx1"/>
            </w14:solidFill>
          </w14:textFill>
        </w:rPr>
        <w:t xml:space="preserve">文件和投标（响应）文件签订分包意向协议，分包意向协议属于本合同组成部分。</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18. 不可抗力</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19. 解决争议的方法</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shd w:val="clear" w:color="auto" w:fill="auto"/>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shd w:val="clear" w:color="auto" w:fill="auto"/>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20. 政府采购政策</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20.1 </w:t>
      </w:r>
      <w:r>
        <w:rPr>
          <w:rFonts w:hint="eastAsia" w:ascii="宋体" w:hAnsi="宋体" w:cs="宋体"/>
          <w:color w:val="000000" w:themeColor="text1"/>
          <w:highlight w:val="none"/>
          <w:shd w:val="clear" w:color="auto" w:fill="auto"/>
          <w:lang w:val="en-GB"/>
          <w14:textFill>
            <w14:solidFill>
              <w14:schemeClr w14:val="tx1"/>
            </w14:solidFill>
          </w14:textFill>
        </w:rPr>
        <w:t xml:space="preserve">本合同应当按照规定执行政府采购政策。</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20.2 本合同依法执行政府采购政策的方式和内容，属于合同履约验收的范围。</w:t>
      </w:r>
      <w:r>
        <w:rPr>
          <w:rFonts w:hint="eastAsia" w:ascii="宋体" w:hAnsi="宋体" w:cs="宋体"/>
          <w:color w:val="000000" w:themeColor="text1"/>
          <w:highlight w:val="none"/>
          <w:shd w:val="clear" w:color="auto" w:fill="auto"/>
          <w14:textFill>
            <w14:solidFill>
              <w14:schemeClr w14:val="tx1"/>
            </w14:solidFill>
          </w14:textFill>
        </w:rPr>
        <w:t xml:space="preserve">甲乙双方</w:t>
      </w:r>
      <w:r>
        <w:rPr>
          <w:rFonts w:hint="eastAsia" w:ascii="宋体" w:hAnsi="宋体" w:cs="宋体"/>
          <w:color w:val="000000" w:themeColor="text1"/>
          <w:highlight w:val="none"/>
          <w:shd w:val="clear" w:color="auto" w:fill="auto"/>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shd w:val="clear" w:color="auto" w:fill="auto"/>
          <w14:textFill>
            <w14:solidFill>
              <w14:schemeClr w14:val="tx1"/>
            </w14:solidFill>
          </w14:textFill>
        </w:rPr>
        <w:t xml:space="preserve">，有过错的一方应当承担赔偿责任，双方都有过错的，各自承担相应的责任。</w:t>
      </w:r>
      <w:r/>
    </w:p>
    <w:p>
      <w:pPr>
        <w:pStyle w:val="778"/>
        <w:ind w:firstLine="420"/>
        <w:spacing w:after="0" w:line="4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21. 法律适用</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21.1 本合同的订立、生效、解释、履行及与本合同有关的争议解决，均适用法律、行政法规。</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22. 通知</w:t>
      </w:r>
      <w:r/>
    </w:p>
    <w:p>
      <w:pPr>
        <w:pStyle w:val="965"/>
        <w:ind w:firstLine="420"/>
        <w:jc w:val="both"/>
        <w:rPr>
          <w:rFonts w:hint="eastAsia" w:ascii="宋体" w:hAnsi="宋体" w:eastAsia="宋体" w:cs="宋体"/>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65"/>
        <w:ind w:firstLine="0"/>
        <w:jc w:val="both"/>
        <w:rPr>
          <w:rFonts w:hint="eastAsia"/>
          <w:color w:val="000000" w:themeColor="text1"/>
          <w:sz w:val="21"/>
          <w:highlight w:val="none"/>
          <w:shd w:val="clear" w:color="auto" w:fill="auto"/>
          <w14:textFill>
            <w14:solidFill>
              <w14:schemeClr w14:val="tx1"/>
            </w14:solidFill>
          </w14:textFill>
        </w:rPr>
      </w:pPr>
      <w:r>
        <w:rPr>
          <w:rFonts w:hint="eastAsia" w:ascii="宋体" w:hAnsi="宋体" w:eastAsia="宋体" w:cs="宋体"/>
          <w:color w:val="000000" w:themeColor="text1"/>
          <w:sz w:val="21"/>
          <w:highlight w:val="none"/>
          <w:shd w:val="clear" w:color="auto" w:fill="auto"/>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color w:val="000000" w:themeColor="text1"/>
          <w:sz w:val="24"/>
          <w:highlight w:val="none"/>
          <w:shd w:val="clear" w:color="auto" w:fill="auto"/>
          <w14:textFill>
            <w14:solidFill>
              <w14:schemeClr w14:val="tx1"/>
            </w14:solidFill>
          </w14:textFill>
        </w:rPr>
      </w:pPr>
      <w:r>
        <w:rPr>
          <w:rFonts w:hint="eastAsia" w:ascii="宋体" w:hAnsi="宋体"/>
          <w:b/>
          <w:bCs/>
          <w:color w:val="000000" w:themeColor="text1"/>
          <w:sz w:val="24"/>
          <w:highlight w:val="none"/>
          <w:shd w:val="clear" w:color="auto" w:fill="auto"/>
          <w14:textFill>
            <w14:solidFill>
              <w14:schemeClr w14:val="tx1"/>
            </w14:solidFill>
          </w14:textFill>
        </w:rPr>
        <w:t xml:space="preserve">合同未尽事项</w:t>
      </w:r>
      <w:r/>
    </w:p>
    <w:p>
      <w:pPr>
        <w:ind w:firstLine="420"/>
        <w:jc w:val="left"/>
        <w:spacing w:line="400" w:lineRule="exact"/>
        <w:rPr>
          <w:rFonts w:hint="eastAsia" w:ascii="宋体" w:hAnsi="宋体"/>
          <w:bCs/>
          <w:color w:val="000000" w:themeColor="text1"/>
          <w:szCs w:val="21"/>
          <w:highlight w:val="none"/>
          <w:shd w:val="clear" w:color="auto" w:fill="auto"/>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 xml:space="preserve">23.1合同未尽事项见</w:t>
      </w:r>
      <w:r>
        <w:rPr>
          <w:rFonts w:hint="eastAsia" w:ascii="宋体" w:hAnsi="宋体"/>
          <w:b/>
          <w:color w:val="000000" w:themeColor="text1"/>
          <w:szCs w:val="21"/>
          <w:highlight w:val="none"/>
          <w:shd w:val="clear" w:color="auto" w:fill="auto"/>
          <w14:textFill>
            <w14:solidFill>
              <w14:schemeClr w14:val="tx1"/>
            </w14:solidFill>
          </w14:textFill>
        </w:rPr>
        <w:t xml:space="preserve">【政府采购合同专用条款】</w:t>
      </w:r>
      <w:r>
        <w:rPr>
          <w:rFonts w:hint="eastAsia" w:ascii="宋体" w:hAnsi="宋体"/>
          <w:bCs/>
          <w:color w:val="000000" w:themeColor="text1"/>
          <w:szCs w:val="21"/>
          <w:highlight w:val="none"/>
          <w:shd w:val="clear" w:color="auto" w:fill="auto"/>
          <w14:textFill>
            <w14:solidFill>
              <w14:schemeClr w14:val="tx1"/>
            </w14:solidFill>
          </w14:textFill>
        </w:rPr>
        <w:t xml:space="preserve">。</w:t>
      </w:r>
      <w:r/>
    </w:p>
    <w:p>
      <w:pPr>
        <w:jc w:val="left"/>
        <w:spacing w:line="400" w:lineRule="exact"/>
        <w:rPr>
          <w:rFonts w:hint="eastAsia" w:ascii="黑体" w:hAnsi="华文中宋" w:eastAsia="黑体"/>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Cs w:val="21"/>
          <w:highlight w:val="none"/>
          <w:shd w:val="clear" w:color="auto" w:fill="auto"/>
          <w14:textFill>
            <w14:solidFill>
              <w14:schemeClr w14:val="tx1"/>
            </w14:solidFill>
          </w14:textFill>
        </w:rPr>
        <w:t xml:space="preserve">    23.2 合同附件与合同正文具有同等的法律效力。</w:t>
      </w:r>
      <w:r/>
    </w:p>
    <w:p>
      <w:pPr>
        <w:jc w:val="center"/>
        <w:keepLines/>
        <w:keepNext/>
        <w:spacing w:line="360" w:lineRule="auto"/>
        <w:rPr>
          <w:rFonts w:ascii="黑体" w:hAnsi="华文中宋" w:eastAsia="黑体"/>
          <w:color w:val="000000" w:themeColor="text1"/>
          <w:sz w:val="24"/>
          <w:highlight w:val="none"/>
          <w:shd w:val="clear" w:color="auto" w:fill="auto"/>
          <w14:textFill>
            <w14:solidFill>
              <w14:schemeClr w14:val="tx1"/>
            </w14:solidFill>
          </w14:textFill>
        </w:rPr>
        <w:outlineLvl w:val="1"/>
      </w:pPr>
      <w:r>
        <w:rPr>
          <w:rFonts w:hint="eastAsia" w:ascii="黑体" w:hAnsi="华文中宋" w:eastAsia="黑体"/>
          <w:color w:val="000000" w:themeColor="text1"/>
          <w:sz w:val="24"/>
          <w:highlight w:val="none"/>
          <w:shd w:val="clear" w:color="auto" w:fill="auto"/>
          <w14:textFill>
            <w14:solidFill>
              <w14:schemeClr w14:val="tx1"/>
            </w14:solidFill>
          </w14:textFill>
        </w:rPr>
        <w:br w:type="page" w:clear="all"/>
      </w:r>
      <w:r/>
    </w:p>
    <w:p>
      <w:pPr>
        <w:jc w:val="center"/>
        <w:keepLines/>
        <w:keepNext/>
        <w:spacing w:line="360" w:lineRule="auto"/>
        <w:rPr>
          <w:rFonts w:ascii="黑体" w:hAnsi="华文中宋" w:eastAsia="黑体"/>
          <w:color w:val="000000" w:themeColor="text1"/>
          <w:sz w:val="24"/>
          <w:highlight w:val="none"/>
          <w:shd w:val="clear" w:color="auto" w:fill="auto"/>
          <w14:textFill>
            <w14:solidFill>
              <w14:schemeClr w14:val="tx1"/>
            </w14:solidFill>
          </w14:textFill>
        </w:rPr>
        <w:outlineLvl w:val="1"/>
      </w:pPr>
      <w:r>
        <w:rPr>
          <w:rFonts w:hint="eastAsia" w:ascii="黑体" w:hAnsi="华文中宋" w:eastAsia="黑体"/>
          <w:color w:val="000000" w:themeColor="text1"/>
          <w:sz w:val="24"/>
          <w:highlight w:val="none"/>
          <w:shd w:val="clear" w:color="auto" w:fill="auto"/>
          <w14:textFill>
            <w14:solidFill>
              <w14:schemeClr w14:val="tx1"/>
            </w14:solidFill>
          </w14:textFill>
        </w:rPr>
        <w:t xml:space="preserve">第三节 政府采购合同专用条款</w:t>
      </w:r>
      <w:bookmarkEnd w:id="138"/>
      <w:r/>
      <w:r/>
    </w:p>
    <w:tbl>
      <w:tblPr>
        <w:tblStyle w:val="77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第1.2（6）项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联合体具体要求</w:t>
            </w:r>
            <w:r/>
          </w:p>
        </w:tc>
        <w:tc>
          <w:tcPr>
            <w:tcW w:w="5170" w:type="dxa"/>
            <w:vAlign w:val="center"/>
            <w:textDirection w:val="lrTb"/>
            <w:noWrap w:val="false"/>
          </w:tcPr>
          <w:p>
            <w:pPr>
              <w:jc w:val="left"/>
              <w:rPr>
                <w:rFonts w:hint="eastAsia" w:ascii="宋体" w:hAnsi="宋体" w:eastAsia="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w:t>
            </w:r>
            <w:r/>
          </w:p>
        </w:tc>
      </w:tr>
      <w:tr>
        <w:trPr>
          <w:trHeight w:val="604"/>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第1.2（7）项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同合同通用条款</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第4.4款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三十</w:t>
            </w:r>
            <w:r>
              <w:rPr>
                <w:rFonts w:hint="eastAsia"/>
                <w:color w:val="000000" w:themeColor="text1"/>
                <w:sz w:val="24"/>
                <w:szCs w:val="20"/>
                <w:highlight w:val="none"/>
                <w:lang w:val="zh-CN"/>
                <w14:textFill>
                  <w14:solidFill>
                    <w14:schemeClr w14:val="tx1"/>
                  </w14:solidFill>
                </w14:textFill>
              </w:rPr>
              <w:t xml:space="preserve">个工作日内</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第4.6款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color w:val="000000" w:themeColor="text1"/>
                <w:sz w:val="24"/>
                <w:szCs w:val="20"/>
                <w:highlight w:val="none"/>
                <w:lang w:val="zh-CN"/>
                <w14:textFill>
                  <w14:solidFill>
                    <w14:schemeClr w14:val="tx1"/>
                  </w14:solidFill>
                </w14:textFill>
              </w:rPr>
              <w:t xml:space="preserve">同合同通用条款</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第5.4款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color w:val="000000" w:themeColor="text1"/>
                <w:sz w:val="24"/>
                <w:szCs w:val="20"/>
                <w:highlight w:val="none"/>
                <w:lang w:val="zh-CN"/>
                <w14:textFill>
                  <w14:solidFill>
                    <w14:schemeClr w14:val="tx1"/>
                  </w14:solidFill>
                </w14:textFill>
              </w:rPr>
              <w:t xml:space="preserve">同合同通用条款</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第6.1款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color w:val="000000" w:themeColor="text1"/>
                <w:sz w:val="24"/>
                <w:szCs w:val="20"/>
                <w:highlight w:val="none"/>
                <w:lang w:val="zh-CN"/>
                <w14:textFill>
                  <w14:solidFill>
                    <w14:schemeClr w14:val="tx1"/>
                  </w14:solidFill>
                </w14:textFill>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第7.1款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包装特殊要求</w:t>
            </w:r>
            <w:r/>
          </w:p>
        </w:tc>
        <w:tc>
          <w:tcPr>
            <w:tcW w:w="5170" w:type="dxa"/>
            <w:vAlign w:val="center"/>
            <w:textDirection w:val="lrTb"/>
            <w:noWrap w:val="false"/>
          </w:tcPr>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1.商品包装层数不得超过3 层，空隙率不大于40%；</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2.商品包装尽可能使用单一材质的包装材料，如因功能需求必需使用不同材质，不同材质间应便于分离；</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3.商品包装中铅、汞、镉、六价铬的总含量应不大于100mg/kg；</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4.商品包装印刷使用的油墨中挥发性有机化合物(VOCs)含量应不大于 5%（以重量计）；</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5.塑料材质商品包装上呈现的印刷颜色不得超过6色；</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6.纸质商品包装应使用75%以上的可再生纤维原料生产；</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7.木质商品包装的原料应来源于可持续性森林。</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9每件包装箱内应附一份详细装箱单和质量合格凭证。</w:t>
            </w:r>
            <w:r/>
          </w:p>
          <w:p>
            <w:pPr>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指定现场</w:t>
            </w:r>
            <w:r/>
          </w:p>
        </w:tc>
        <w:tc>
          <w:tcPr>
            <w:tcW w:w="5170" w:type="dxa"/>
            <w:vAlign w:val="center"/>
            <w:textDirection w:val="lrTb"/>
            <w:noWrap w:val="false"/>
          </w:tcPr>
          <w:p>
            <w:pPr>
              <w:jc w:val="left"/>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14:textFill>
                  <w14:solidFill>
                    <w14:schemeClr w14:val="tx1"/>
                  </w14:solidFill>
                </w14:textFill>
              </w:rPr>
              <w:t xml:space="preserve">同协议书</w:t>
            </w:r>
            <w:r/>
          </w:p>
        </w:tc>
      </w:tr>
      <w:tr>
        <w:trPr>
          <w:trHeight w:val="772"/>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第7.2款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运输特殊要求</w:t>
            </w:r>
            <w:r/>
          </w:p>
        </w:tc>
        <w:tc>
          <w:tcPr>
            <w:tcW w:w="5170" w:type="dxa"/>
            <w:vAlign w:val="center"/>
            <w:textDirection w:val="lrTb"/>
            <w:noWrap w:val="false"/>
          </w:tcPr>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1.货物验收合格、交付使用并提供所需单据的日期视为交货日期。</w:t>
            </w:r>
            <w:r/>
          </w:p>
          <w:p>
            <w:pPr>
              <w:pStyle w:val="965"/>
              <w:ind w:firstLine="0"/>
              <w:rPr>
                <w:rFonts w:ascii="Times New Roman" w:hAnsi="Times New Roman" w:eastAsia="宋体" w:cs="Times New Roman"/>
                <w:color w:val="000000" w:themeColor="text1"/>
                <w:sz w:val="24"/>
                <w:szCs w:val="24"/>
                <w:highlight w:val="none"/>
                <w:shd w:val="clear" w:color="auto" w:fill="auto"/>
                <w14:textFill>
                  <w14:solidFill>
                    <w14:schemeClr w14:val="tx1"/>
                  </w14:solidFill>
                </w14:textFill>
              </w:rPr>
            </w:pP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2.乙方在货物发运手续办理完毕后24小时内或货到48小时前通知甲方，以准备接货。（具体时间根据双方实际需求调整）</w:t>
            </w:r>
            <w:r/>
          </w:p>
          <w:p>
            <w:pPr>
              <w:rPr>
                <w:color w:val="000000" w:themeColor="text1"/>
                <w:sz w:val="24"/>
                <w:highlight w:val="none"/>
                <w:shd w:val="clear" w:color="auto" w:fill="auto"/>
                <w14:textFill>
                  <w14:solidFill>
                    <w14:schemeClr w14:val="tx1"/>
                  </w14:solidFill>
                </w14:textFill>
              </w:rPr>
            </w:pPr>
            <w:r>
              <w:rPr>
                <w:rFonts w:hint="eastAsia"/>
                <w:color w:val="000000" w:themeColor="text1"/>
                <w:sz w:val="24"/>
                <w:highlight w:val="none"/>
                <w:shd w:val="clear" w:color="auto" w:fill="auto"/>
                <w14:textFill>
                  <w14:solidFill>
                    <w14:schemeClr w14:val="tx1"/>
                  </w14:solidFill>
                </w14:textFill>
              </w:rPr>
              <w:t xml:space="preserve">3.乙方装运的货物不应超过合同规定的数量或重量。乙方应对超交数量或超重而产生的一切后果负责。</w:t>
            </w:r>
            <w:r/>
          </w:p>
          <w:p>
            <w:pPr>
              <w:pStyle w:val="965"/>
              <w:ind w:firstLine="0"/>
              <w:rPr>
                <w:color w:val="000000" w:themeColor="text1"/>
                <w:highlight w:val="none"/>
                <w:shd w:val="clear" w:color="auto" w:fill="auto"/>
                <w14:textFill>
                  <w14:solidFill>
                    <w14:schemeClr w14:val="tx1"/>
                  </w14:solidFill>
                </w14:textFill>
              </w:rPr>
            </w:pP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第7.3款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保险要求</w:t>
            </w:r>
            <w:r/>
          </w:p>
        </w:tc>
        <w:tc>
          <w:tcPr>
            <w:tcW w:w="5170" w:type="dxa"/>
            <w:vAlign w:val="center"/>
            <w:textDirection w:val="lrTb"/>
            <w:noWrap w:val="false"/>
          </w:tcPr>
          <w:p>
            <w:pPr>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第8.2（1）项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质量保证期</w:t>
            </w:r>
            <w:r/>
          </w:p>
        </w:tc>
        <w:tc>
          <w:tcPr>
            <w:tcW w:w="5170" w:type="dxa"/>
            <w:vAlign w:val="center"/>
            <w:textDirection w:val="lrTb"/>
            <w:noWrap w:val="false"/>
          </w:tcPr>
          <w:p>
            <w:pPr>
              <w:pStyle w:val="796"/>
              <w:ind w:left="480" w:hanging="480"/>
              <w:jc w:val="both"/>
              <w:spacing w:before="120" w:beforeAutospacing="0" w:after="120" w:afterAutospacing="0"/>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1.货物免费质保期</w:t>
            </w:r>
            <w:r>
              <w:rPr>
                <w:rFonts w:hint="eastAsia" w:ascii="宋体" w:hAnsi="宋体"/>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lang w:val="en-US" w:eastAsia="zh-CN"/>
                <w14:textFill>
                  <w14:solidFill>
                    <w14:schemeClr w14:val="tx1"/>
                  </w14:solidFill>
                </w14:textFill>
              </w:rPr>
              <w:t xml:space="preserve">2</w:t>
            </w:r>
            <w:r>
              <w:rPr>
                <w:rFonts w:hint="eastAsia" w:ascii="宋体" w:hAnsi="宋体"/>
                <w:color w:val="000000" w:themeColor="text1"/>
                <w:highlight w:val="none"/>
                <w:u w:val="single"/>
                <w:shd w:val="clear" w:color="auto" w:fill="auto"/>
                <w14:textFill>
                  <w14:solidFill>
                    <w14:schemeClr w14:val="tx1"/>
                  </w14:solidFill>
                </w14:textFill>
              </w:rPr>
              <w:t xml:space="preserve"> 年</w:t>
            </w:r>
            <w:r>
              <w:rPr>
                <w:rFonts w:hint="eastAsia" w:ascii="宋体" w:hAnsi="宋体"/>
                <w:color w:val="000000" w:themeColor="text1"/>
                <w:highlight w:val="none"/>
                <w:shd w:val="clear" w:color="auto" w:fill="auto"/>
                <w14:textFill>
                  <w14:solidFill>
                    <w14:schemeClr w14:val="tx1"/>
                  </w14:solidFill>
                </w14:textFill>
              </w:rPr>
              <w:t xml:space="preserve">。（</w:t>
            </w:r>
            <w:r>
              <w:rPr>
                <w:rFonts w:hint="eastAsia" w:ascii="宋体" w:hAnsi="宋体" w:cs="宋体"/>
                <w:color w:val="000000" w:themeColor="text1"/>
                <w:highlight w:val="none"/>
                <w:shd w:val="clear" w:color="auto" w:fill="auto"/>
                <w14:textFill>
                  <w14:solidFill>
                    <w14:schemeClr w14:val="tx1"/>
                  </w14:solidFill>
                </w14:textFill>
              </w:rPr>
              <w:t xml:space="preserve">自交货验收合格之日起计），因人为因素出现的故障不在免费保修范围内。超过保修期的机器设备，</w:t>
            </w:r>
            <w:r>
              <w:rPr>
                <w:rFonts w:hint="eastAsia" w:cs="宋体"/>
                <w:color w:val="000000" w:themeColor="text1"/>
                <w:highlight w:val="none"/>
                <w:shd w:val="clear" w:color="auto" w:fill="auto"/>
                <w:lang w:eastAsia="zh-CN"/>
                <w14:textFill>
                  <w14:solidFill>
                    <w14:schemeClr w14:val="tx1"/>
                  </w14:solidFill>
                </w14:textFill>
              </w:rPr>
              <w:t xml:space="preserve">终身维修</w:t>
            </w:r>
            <w:r>
              <w:rPr>
                <w:rFonts w:hint="eastAsia" w:ascii="宋体" w:hAnsi="宋体" w:cs="宋体"/>
                <w:color w:val="000000" w:themeColor="text1"/>
                <w:highlight w:val="none"/>
                <w:shd w:val="clear" w:color="auto" w:fill="auto"/>
                <w14:textFill>
                  <w14:solidFill>
                    <w14:schemeClr w14:val="tx1"/>
                  </w14:solidFill>
                </w14:textFill>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第8.2（3）项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货物质量缺陷</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质保期间，提供技术服务热线（7*24小时），</w:t>
            </w:r>
            <w:r>
              <w:rPr>
                <w:rFonts w:hint="eastAsia" w:ascii="宋体" w:hAnsi="宋体"/>
                <w:color w:val="000000" w:themeColor="text1"/>
                <w:sz w:val="24"/>
                <w:highlight w:val="none"/>
                <w:shd w:val="clear" w:color="auto" w:fill="auto"/>
                <w14:textFill>
                  <w14:solidFill>
                    <w14:schemeClr w14:val="tx1"/>
                  </w14:solidFill>
                </w14:textFill>
              </w:rPr>
              <w:t xml:space="preserve">如在使用过程中发生质量问题，乙方在接到甲方通知后在</w:t>
            </w:r>
            <w:r>
              <w:rPr>
                <w:rFonts w:hint="eastAsia" w:ascii="宋体" w:hAnsi="宋体"/>
                <w:color w:val="000000" w:themeColor="text1"/>
                <w:sz w:val="24"/>
                <w:highlight w:val="none"/>
                <w:u w:val="single"/>
                <w:shd w:val="clear" w:color="auto" w:fill="auto"/>
                <w14:textFill>
                  <w14:solidFill>
                    <w14:schemeClr w14:val="tx1"/>
                  </w14:solidFill>
                </w14:textFill>
              </w:rPr>
              <w:t xml:space="preserve">__</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48</w:t>
            </w:r>
            <w:r>
              <w:rPr>
                <w:rFonts w:hint="eastAsia" w:ascii="宋体" w:hAnsi="宋体"/>
                <w:color w:val="000000" w:themeColor="text1"/>
                <w:sz w:val="24"/>
                <w:highlight w:val="none"/>
                <w:u w:val="single"/>
                <w:shd w:val="clear" w:color="auto" w:fill="auto"/>
                <w14:textFill>
                  <w14:solidFill>
                    <w14:schemeClr w14:val="tx1"/>
                  </w14:solidFill>
                </w14:textFill>
              </w:rPr>
              <w:t xml:space="preserve">___</w:t>
            </w:r>
            <w:r>
              <w:rPr>
                <w:rFonts w:hint="eastAsia" w:ascii="宋体" w:hAnsi="宋体"/>
                <w:color w:val="000000" w:themeColor="text1"/>
                <w:sz w:val="24"/>
                <w:highlight w:val="none"/>
                <w:shd w:val="clear" w:color="auto" w:fill="auto"/>
                <w14:textFill>
                  <w14:solidFill>
                    <w14:schemeClr w14:val="tx1"/>
                  </w14:solidFill>
                </w14:textFill>
              </w:rPr>
              <w:t xml:space="preserve">小时内到达甲方现场。</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第8款补充</w:t>
            </w:r>
            <w:r/>
          </w:p>
        </w:tc>
        <w:tc>
          <w:tcPr>
            <w:tcW w:w="1789" w:type="dxa"/>
            <w:vAlign w:val="center"/>
            <w:textDirection w:val="lrTb"/>
            <w:noWrap w:val="false"/>
          </w:tcPr>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质量保证要求</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 在质保期内，乙方应对货物出现的质量及安全问题负责处理解决并承担一切费用（因甲方不当使用的除外）。</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2.乙方应按照国家有关法律法规规章和“三包”规定以及</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olor w:val="000000" w:themeColor="text1"/>
                <w:sz w:val="24"/>
                <w:highlight w:val="none"/>
                <w:shd w:val="clear" w:color="auto" w:fill="auto"/>
                <w14:textFill>
                  <w14:solidFill>
                    <w14:schemeClr w14:val="tx1"/>
                  </w14:solidFill>
                </w14:textFill>
              </w:rPr>
              <w:t xml:space="preserve">文件售后服务要求及</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响应</w:t>
            </w:r>
            <w:r>
              <w:rPr>
                <w:rFonts w:hint="eastAsia" w:ascii="宋体" w:hAnsi="宋体"/>
                <w:color w:val="000000" w:themeColor="text1"/>
                <w:sz w:val="24"/>
                <w:highlight w:val="none"/>
                <w:shd w:val="clear" w:color="auto" w:fill="auto"/>
                <w14:textFill>
                  <w14:solidFill>
                    <w14:schemeClr w14:val="tx1"/>
                  </w14:solidFill>
                </w14:textFill>
              </w:rPr>
              <w:t xml:space="preserve">文件售后服务承诺提供售后服务。</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96"/>
              <w:ind w:left="480" w:hanging="480"/>
              <w:spacing w:before="120" w:beforeAutospacing="0" w:after="120" w:afterAutospacing="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第11.1款</w:t>
            </w:r>
            <w:r/>
          </w:p>
        </w:tc>
        <w:tc>
          <w:tcPr>
            <w:tcW w:w="1789" w:type="dxa"/>
            <w:vAlign w:val="center"/>
            <w:textDirection w:val="lrTb"/>
            <w:noWrap w:val="false"/>
          </w:tcPr>
          <w:p>
            <w:pP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r>
      <w:tr>
        <w:trPr>
          <w:trHeight w:val="697"/>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第12.2款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合同价款支付时间及要求</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1.合同款项的支付方式及进度安排：</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①自合同签订生效之日起，收到乙方发票10个工作日内，甲方向乙方支付合同总价的__</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30%</w:t>
            </w:r>
            <w:r>
              <w:rPr>
                <w:rFonts w:hint="eastAsia" w:ascii="宋体" w:hAnsi="宋体"/>
                <w:color w:val="000000" w:themeColor="text1"/>
                <w:sz w:val="24"/>
                <w:highlight w:val="none"/>
                <w:shd w:val="clear" w:color="auto" w:fill="auto"/>
                <w14:textFill>
                  <w14:solidFill>
                    <w14:schemeClr w14:val="tx1"/>
                  </w14:solidFill>
                </w14:textFill>
              </w:rPr>
              <w:t xml:space="preserve">__款项作为预付款；</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②所有货物安装完毕，甲方组织初步验收，初步验收合格后收到乙方发票10个工作日内甲方向乙方支付至合同总价的__</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90%</w:t>
            </w:r>
            <w:r>
              <w:rPr>
                <w:rFonts w:hint="eastAsia" w:ascii="宋体" w:hAnsi="宋体"/>
                <w:color w:val="000000" w:themeColor="text1"/>
                <w:sz w:val="24"/>
                <w:highlight w:val="none"/>
                <w:shd w:val="clear" w:color="auto" w:fill="auto"/>
                <w14:textFill>
                  <w14:solidFill>
                    <w14:schemeClr w14:val="tx1"/>
                  </w14:solidFill>
                </w14:textFill>
              </w:rPr>
              <w:t xml:space="preserve">__款项；</w:t>
            </w:r>
            <w:r/>
          </w:p>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③初步验收合格且项目运行满__</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24</w:t>
            </w:r>
            <w:r>
              <w:rPr>
                <w:rFonts w:hint="eastAsia" w:ascii="宋体" w:hAnsi="宋体"/>
                <w:color w:val="000000" w:themeColor="text1"/>
                <w:sz w:val="24"/>
                <w:highlight w:val="none"/>
                <w:shd w:val="clear" w:color="auto" w:fill="auto"/>
                <w14:textFill>
                  <w14:solidFill>
                    <w14:schemeClr w14:val="tx1"/>
                  </w14:solidFill>
                </w14:textFill>
              </w:rPr>
              <w:t xml:space="preserve">__个月后，甲方组织最终验收，最终验收合格后收到乙方发票10个工作日内甲方付清货款。</w:t>
            </w:r>
            <w:r/>
          </w:p>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注：甲方应当自收到乙方完整的发票后10个工作日内支付资金。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同约定的义务。</w:t>
            </w:r>
            <w:r/>
          </w:p>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 发票；</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 制造厂家出具的质量检验证书等；</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 装箱单；</w:t>
            </w:r>
            <w:r/>
          </w:p>
          <w:p>
            <w:pPr>
              <w:jc w:val="left"/>
              <w:rPr>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第13.2款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履约保证金不予退还的情形</w:t>
            </w:r>
            <w:r/>
          </w:p>
        </w:tc>
        <w:tc>
          <w:tcPr>
            <w:tcW w:w="5170" w:type="dxa"/>
            <w:vAlign w:val="center"/>
            <w:textDirection w:val="lrTb"/>
            <w:noWrap w:val="false"/>
          </w:tcPr>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（2）中标人不履行与采购人订立的合同的；</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（3）中标人所供货物或服务不符合</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ascii="宋体" w:hAnsi="宋体" w:cs="宋体"/>
                <w:color w:val="000000" w:themeColor="text1"/>
                <w:sz w:val="24"/>
                <w:highlight w:val="none"/>
                <w:shd w:val="clear" w:color="auto" w:fill="auto"/>
                <w14:textFill>
                  <w14:solidFill>
                    <w14:schemeClr w14:val="tx1"/>
                  </w14:solidFill>
                </w14:textFill>
              </w:rPr>
              <w:t xml:space="preserve">文件规定要求的；</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（4）中标人采取欺骗、弄虚作假方式投标的或与</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其他</w:t>
            </w:r>
            <w:r>
              <w:rPr>
                <w:rFonts w:hint="eastAsia" w:ascii="宋体" w:hAnsi="宋体" w:cs="宋体"/>
                <w:color w:val="000000" w:themeColor="text1"/>
                <w:sz w:val="24"/>
                <w:highlight w:val="none"/>
                <w:shd w:val="clear" w:color="auto" w:fill="auto"/>
                <w14:textFill>
                  <w14:solidFill>
                    <w14:schemeClr w14:val="tx1"/>
                  </w14:solidFill>
                </w14:textFill>
              </w:rPr>
              <w:t xml:space="preserve">投标人串通投标的；</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（5）中标人将合同内容转包、违法分包的；</w:t>
            </w:r>
            <w:r/>
          </w:p>
          <w:p>
            <w:pPr>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第13.3款</w:t>
            </w:r>
            <w:r/>
          </w:p>
        </w:tc>
        <w:tc>
          <w:tcPr>
            <w:tcW w:w="1789" w:type="dxa"/>
            <w:vAlign w:val="center"/>
            <w:textDirection w:val="lrTb"/>
            <w:noWrap w:val="false"/>
          </w:tcPr>
          <w:p>
            <w:pPr>
              <w:jc w:val="left"/>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1、合同履行结束后，甲方应及时退还交纳的履约保证金。</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2、退还方式：退还至投标人缴纳履约保证金的账户。如为保函，在到期时自行失效。</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3、退还时间：验收合格且甲方收到发票后30日内。</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4、退还条件：按合同要求全部履约完成并经采购人验收合格，且采购人收到中标人出具的发票。</w:t>
            </w:r>
            <w:r/>
          </w:p>
          <w:p>
            <w:pPr>
              <w:spacing w:line="360" w:lineRule="auto"/>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第14.1（3）项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同合同通用条款</w:t>
            </w:r>
            <w:r/>
          </w:p>
        </w:tc>
      </w:tr>
      <w:tr>
        <w:trPr>
          <w:trHeight w:val="784"/>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第14.1（5）项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同合同通用条款</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第14.1（6）项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①质保期间，提供技术服务热线（7*24小时），接到采购人抢修指令申告电话后应于30分钟内响应,8小时到达现场解决问题。</w:t>
            </w:r>
            <w:r/>
          </w:p>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如未在规定时间内完成的需立即上报采购人，经允许后延长修复时间，如未及时修复造成采购人损失，由供应商承担全部责任。</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第15.1款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修理、重</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做</w:t>
            </w:r>
            <w:r>
              <w:rPr>
                <w:rFonts w:hint="eastAsia" w:ascii="宋体" w:hAnsi="宋体"/>
                <w:color w:val="000000" w:themeColor="text1"/>
                <w:sz w:val="24"/>
                <w:highlight w:val="none"/>
                <w:shd w:val="clear" w:color="auto" w:fill="auto"/>
                <w14:textFill>
                  <w14:solidFill>
                    <w14:schemeClr w14:val="tx1"/>
                  </w14:solidFill>
                </w14:textFill>
              </w:rPr>
              <w:t xml:space="preserve">、更换相关具体规定</w:t>
            </w:r>
            <w:r/>
          </w:p>
        </w:tc>
        <w:tc>
          <w:tcPr>
            <w:tcW w:w="5170" w:type="dxa"/>
            <w:vAlign w:val="center"/>
            <w:textDirection w:val="lrTb"/>
            <w:noWrap w:val="false"/>
          </w:tcPr>
          <w:p>
            <w:pPr>
              <w:numPr>
                <w:ilvl w:val="0"/>
                <w:numId w:val="8"/>
              </w:num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详见合同通用条款8.2条款、合同专用条款第二节第8款补充条款及合同专用条款中索赔条款。</w:t>
            </w:r>
            <w:r/>
          </w:p>
          <w:p>
            <w:pPr>
              <w:numPr>
                <w:ilvl w:val="0"/>
                <w:numId w:val="8"/>
              </w:num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乙方所交的货物品种、型号、规格、技术参数、质量不符合合同</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规定及</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询价</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文件规</w:t>
            </w:r>
            <w:r>
              <w:rPr>
                <w:rFonts w:hint="eastAsia" w:ascii="宋体" w:hAnsi="宋体"/>
                <w:color w:val="000000" w:themeColor="text1"/>
                <w:sz w:val="24"/>
                <w:highlight w:val="none"/>
                <w:shd w:val="clear" w:color="auto" w:fill="auto"/>
                <w14:textFill>
                  <w14:solidFill>
                    <w14:schemeClr w14:val="tx1"/>
                  </w14:solidFill>
                </w14:textFill>
              </w:rPr>
              <w:t xml:space="preserve">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第15.2（2）项</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1.乙方应按照“开标（报价）一览表”中规定的交货期或承诺交货和提供服务，并交付甲方验收使用。</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2.如果乙方无正当理由拖延交货，将受到以下制裁：加收误期赔偿或终止合同。</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 乙方逾期交付货物的，乙方应按逾期交货总额每日</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1%</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向甲方支付违约金，由甲方从待付货款中扣除。逾期超过约定日期</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15</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15%</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的违约金，如造成甲方损失超过违约金的，超出部分由乙方继续承担赔偿责任。 </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4.如乙方不能交付货物，或者有违法转包他人情形，乙方应向甲方支付合同总价</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15%</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的滞纳金。</w:t>
            </w:r>
            <w:r/>
          </w:p>
          <w:p>
            <w:pPr>
              <w:jc w:val="left"/>
              <w:rPr>
                <w:rFonts w:ascii="宋体" w:hAnsi="宋体"/>
                <w:color w:val="000000" w:themeColor="text1"/>
                <w:sz w:val="24"/>
                <w:highlight w:val="none"/>
                <w:u w:val="single"/>
                <w:shd w:val="clear" w:color="auto" w:fill="auto"/>
                <w14:textFill>
                  <w14:solidFill>
                    <w14:schemeClr w14:val="tx1"/>
                  </w14:solidFill>
                </w14:textFill>
              </w:rPr>
            </w:pPr>
            <w:r>
              <w:rPr>
                <w:rFonts w:ascii="宋体" w:hAnsi="宋体"/>
                <w:color w:val="000000" w:themeColor="text1"/>
                <w:sz w:val="24"/>
                <w:highlight w:val="none"/>
                <w:u w:val="single"/>
                <w:shd w:val="clear" w:color="auto" w:fill="auto"/>
                <w14:textFill>
                  <w14:solidFill>
                    <w14:schemeClr w14:val="tx1"/>
                  </w14:solidFill>
                </w14:textFill>
              </w:rPr>
            </w:r>
            <w:r/>
          </w:p>
        </w:tc>
      </w:tr>
      <w:tr>
        <w:trPr>
          <w:trHeight w:val="736"/>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第15.3款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逾期付款利息</w:t>
            </w:r>
            <w:r/>
          </w:p>
        </w:tc>
        <w:tc>
          <w:tcPr>
            <w:tcW w:w="5170" w:type="dxa"/>
            <w:vAlign w:val="center"/>
            <w:textDirection w:val="lrTb"/>
            <w:noWrap w:val="false"/>
          </w:tcPr>
          <w:p>
            <w:pPr>
              <w:pStyle w:val="796"/>
              <w:ind w:left="410" w:hanging="410"/>
              <w:jc w:val="both"/>
              <w:spacing w:before="120" w:beforeAutospacing="0" w:after="120" w:afterAutospacing="0"/>
              <w:rPr>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1.甲方无正当理由拒收货物的，甲方向乙方偿付拒收货款总值</w:t>
            </w:r>
            <w:r>
              <w:rPr>
                <w:rFonts w:hint="eastAsia" w:ascii="宋体" w:hAnsi="宋体" w:cs="宋体"/>
                <w:color w:val="000000" w:themeColor="text1"/>
                <w:highlight w:val="none"/>
                <w:u w:val="single"/>
                <w:shd w:val="clear" w:color="auto" w:fill="auto"/>
                <w14:textFill>
                  <w14:solidFill>
                    <w14:schemeClr w14:val="tx1"/>
                  </w14:solidFill>
                </w14:textFill>
              </w:rPr>
              <w:t xml:space="preserve">  </w:t>
            </w:r>
            <w:r>
              <w:rPr>
                <w:rFonts w:hint="eastAsia" w:cs="宋体"/>
                <w:color w:val="000000" w:themeColor="text1"/>
                <w:highlight w:val="none"/>
                <w:u w:val="single"/>
                <w:shd w:val="clear" w:color="auto" w:fill="auto"/>
                <w:lang w:val="en-US" w:eastAsia="zh-CN"/>
                <w14:textFill>
                  <w14:solidFill>
                    <w14:schemeClr w14:val="tx1"/>
                  </w14:solidFill>
                </w14:textFill>
              </w:rPr>
              <w:t xml:space="preserve">3%</w:t>
            </w:r>
            <w:r>
              <w:rPr>
                <w:rFonts w:hint="eastAsia" w:ascii="宋体" w:hAnsi="宋体" w:cs="宋体"/>
                <w:color w:val="000000" w:themeColor="text1"/>
                <w:highlight w:val="none"/>
                <w:u w:val="single"/>
                <w:shd w:val="clear" w:color="auto" w:fill="auto"/>
                <w14:textFill>
                  <w14:solidFill>
                    <w14:schemeClr w14:val="tx1"/>
                  </w14:solidFill>
                </w14:textFill>
              </w:rPr>
              <w:t xml:space="preserve">  </w:t>
            </w:r>
            <w:r>
              <w:rPr>
                <w:rFonts w:hint="eastAsia" w:ascii="宋体" w:hAnsi="宋体" w:cs="宋体"/>
                <w:color w:val="000000" w:themeColor="text1"/>
                <w:highlight w:val="none"/>
                <w:shd w:val="clear" w:color="auto" w:fill="auto"/>
                <w14:textFill>
                  <w14:solidFill>
                    <w14:schemeClr w14:val="tx1"/>
                  </w14:solidFill>
                </w14:textFill>
              </w:rPr>
              <w:t xml:space="preserve">的违约金。</w:t>
            </w:r>
            <w:r/>
          </w:p>
          <w:p>
            <w:pPr>
              <w:pStyle w:val="796"/>
              <w:ind w:left="410" w:hanging="410"/>
              <w:jc w:val="both"/>
              <w:spacing w:before="120" w:beforeAutospacing="0" w:after="120" w:afterAutospacing="0"/>
              <w:rPr>
                <w:rFonts w:ascii="宋体" w:hAnsi="宋体"/>
                <w:color w:val="000000" w:themeColor="text1"/>
                <w:highlight w:val="none"/>
                <w:u w:val="singl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2.甲方无故逾期验收和办理货款支付手续的,甲方应按逾期付款总额每日</w:t>
            </w:r>
            <w:r>
              <w:rPr>
                <w:rFonts w:hint="eastAsia" w:ascii="宋体" w:hAnsi="宋体" w:cs="宋体"/>
                <w:color w:val="000000" w:themeColor="text1"/>
                <w:highlight w:val="none"/>
                <w:u w:val="single"/>
                <w:shd w:val="clear" w:color="auto" w:fill="auto"/>
                <w14:textFill>
                  <w14:solidFill>
                    <w14:schemeClr w14:val="tx1"/>
                  </w14:solidFill>
                </w14:textFill>
              </w:rPr>
              <w:t xml:space="preserve">  </w:t>
            </w:r>
            <w:r>
              <w:rPr>
                <w:rFonts w:hint="eastAsia" w:cs="宋体"/>
                <w:color w:val="000000" w:themeColor="text1"/>
                <w:highlight w:val="none"/>
                <w:u w:val="single"/>
                <w:shd w:val="clear" w:color="auto" w:fill="auto"/>
                <w:lang w:val="en-US" w:eastAsia="zh-CN"/>
                <w14:textFill>
                  <w14:solidFill>
                    <w14:schemeClr w14:val="tx1"/>
                  </w14:solidFill>
                </w14:textFill>
              </w:rPr>
              <w:t xml:space="preserve">1‰</w:t>
            </w:r>
            <w:r>
              <w:rPr>
                <w:rFonts w:hint="eastAsia" w:ascii="宋体" w:hAnsi="宋体" w:cs="宋体"/>
                <w:color w:val="000000" w:themeColor="text1"/>
                <w:highlight w:val="none"/>
                <w:u w:val="single"/>
                <w:shd w:val="clear" w:color="auto" w:fill="auto"/>
                <w14:textFill>
                  <w14:solidFill>
                    <w14:schemeClr w14:val="tx1"/>
                  </w14:solidFill>
                </w14:textFill>
              </w:rPr>
              <w:t xml:space="preserve">  </w:t>
            </w:r>
            <w:r>
              <w:rPr>
                <w:rFonts w:hint="eastAsia" w:ascii="宋体" w:hAnsi="宋体" w:cs="宋体"/>
                <w:color w:val="000000" w:themeColor="text1"/>
                <w:highlight w:val="none"/>
                <w:shd w:val="clear" w:color="auto" w:fill="auto"/>
                <w14:textFill>
                  <w14:solidFill>
                    <w14:schemeClr w14:val="tx1"/>
                  </w14:solidFill>
                </w14:textFill>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乙方交付合同标的的标准不符合合同规定及招标文件规定标准的，甲方有权拒绝接受合同标的，并可单方面解除合同。</w:t>
            </w:r>
            <w:r/>
          </w:p>
          <w:p>
            <w:pPr>
              <w:pStyle w:val="804"/>
              <w:rPr>
                <w:rFonts w:hint="eastAsia"/>
                <w:highlight w:val="none"/>
              </w:rPr>
            </w:pPr>
            <w:r>
              <w:rPr>
                <w:rFonts w:hint="eastAsia"/>
                <w:highlight w:val="none"/>
              </w:rPr>
              <w:t xml:space="preserve">中标人应在中标通知书发出后七个</w:t>
            </w:r>
            <w:r>
              <w:rPr>
                <w:rFonts w:hint="eastAsia"/>
                <w:highlight w:val="none"/>
                <w:lang w:val="en-US" w:eastAsia="zh-CN"/>
              </w:rPr>
              <w:t xml:space="preserve">日历天</w:t>
            </w:r>
            <w:r>
              <w:rPr>
                <w:rFonts w:hint="eastAsia"/>
                <w:highlight w:val="none"/>
              </w:rPr>
              <w:t xml:space="preserve">内，按招标文件及投标文件承诺内容，向采购人完成产品全部功能的现场演示。如演示结果与招标要求或其投标承诺存在实质性不符，采购人可要求中标人在3个工作日予以说明或补正。</w:t>
            </w:r>
            <w:r/>
          </w:p>
          <w:p>
            <w:pPr>
              <w:pStyle w:val="804"/>
              <w:rPr>
                <w:rFonts w:hint="eastAsia"/>
                <w:highlight w:val="none"/>
              </w:rPr>
            </w:pPr>
            <w:r>
              <w:rPr>
                <w:rFonts w:hint="eastAsia"/>
                <w:highlight w:val="none"/>
              </w:rPr>
              <w:t xml:space="preserve">若中标人拒不配合、无法合理解释，或经补正后仍不能满足基本履约要求，视为不具备履约能力，采购人有权取消其中标资格，不予签订合同。</w:t>
            </w:r>
            <w:r/>
          </w:p>
          <w:p>
            <w:pPr>
              <w:pStyle w:val="804"/>
              <w:rPr>
                <w:highlight w:val="none"/>
              </w:rPr>
            </w:pPr>
            <w:r>
              <w:rPr>
                <w:rFonts w:hint="eastAsia"/>
                <w:highlight w:val="none"/>
              </w:rPr>
              <w:t xml:space="preserve">如经查实中标人在投标过程中存在故意提供虚假材料、虚构功能或伪造证明等行为，将依据《中华人民共和国政府采购法》第七十七条及相关规定严肃处理。”。</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1.因本合同及合同有关事项发生的争议，由双方协商解决，协商不成时，按下列第</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2</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种方式解决：</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（1）向仲裁委员会申请仲裁，仲裁地点为</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（2）向甲方所在地人民法院起诉。</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 纠纷解决办法</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第二节</w:t>
            </w:r>
            <w:r/>
          </w:p>
          <w:p>
            <w:pPr>
              <w:jc w:val="center"/>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第23.1款</w:t>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3.验收不合格的货物，乙方应在</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5</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shd w:val="clear" w:color="auto" w:fill="auto"/>
                <w14:textFill>
                  <w14:solidFill>
                    <w14:schemeClr w14:val="tx1"/>
                  </w14:solidFill>
                </w14:textFill>
              </w:rPr>
              <w:t xml:space="preserve">  3%  </w:t>
            </w:r>
            <w:r>
              <w:rPr>
                <w:rFonts w:hint="eastAsia" w:ascii="宋体" w:hAnsi="宋体"/>
                <w:color w:val="000000" w:themeColor="text1"/>
                <w:sz w:val="24"/>
                <w:highlight w:val="none"/>
                <w:shd w:val="clear" w:color="auto" w:fill="auto"/>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4.货物验收要求</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（1）依照</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询价</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文件要求对全部货物、型号、规格、数量、外型、外观</w:t>
            </w:r>
            <w:r>
              <w:rPr>
                <w:rFonts w:hint="eastAsia" w:ascii="宋体" w:hAnsi="宋体"/>
                <w:color w:val="000000" w:themeColor="text1"/>
                <w:sz w:val="24"/>
                <w:highlight w:val="none"/>
                <w:shd w:val="clear" w:color="auto" w:fill="auto"/>
                <w14:textFill>
                  <w14:solidFill>
                    <w14:schemeClr w14:val="tx1"/>
                  </w14:solidFill>
                </w14:textFill>
              </w:rPr>
              <w:t xml:space="preserve">、包装及资料、文件（如装箱单、保修单、随箱介质等）进行验收。</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（2）甲方与乙方对货物到货后共同进行开箱检查，出现损坏、数量不全或产品不对等问题时，由乙方负责解决。</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（4）乙方应按照本合同规定的时间、地点和方式向乙方交付货物。</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交货时间：</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  </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none"/>
                <w:shd w:val="clear" w:color="auto" w:fill="auto"/>
                <w:lang w:val="en-US" w:eastAsia="zh-CN"/>
                <w14:textFill>
                  <w14:solidFill>
                    <w14:schemeClr w14:val="tx1"/>
                  </w14:solidFill>
                </w14:textFill>
              </w:rPr>
              <w:t xml:space="preserve">日历天</w:t>
            </w:r>
            <w:r>
              <w:rPr>
                <w:rFonts w:hint="eastAsia" w:ascii="宋体" w:hAnsi="宋体"/>
                <w:color w:val="000000" w:themeColor="text1"/>
                <w:sz w:val="24"/>
                <w:highlight w:val="none"/>
                <w:shd w:val="clear" w:color="auto" w:fill="auto"/>
                <w14:textFill>
                  <w14:solidFill>
                    <w14:schemeClr w14:val="tx1"/>
                  </w14:solidFill>
                </w14:textFill>
              </w:rPr>
              <w:t xml:space="preserve">完成供货（安装）并交付使用。</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交货地点：</w:t>
            </w:r>
            <w:r>
              <w:rPr>
                <w:rFonts w:hint="eastAsia" w:ascii="宋体" w:hAnsi="宋体"/>
                <w:color w:val="000000" w:themeColor="text1"/>
                <w:sz w:val="24"/>
                <w:highlight w:val="none"/>
                <w:u w:val="single"/>
                <w:shd w:val="clear" w:color="auto" w:fill="auto"/>
                <w14:textFill>
                  <w14:solidFill>
                    <w14:schemeClr w14:val="tx1"/>
                  </w14:solidFill>
                </w14:textFill>
              </w:rPr>
              <w:t xml:space="preserve"> 盐城农业科技职业学院 </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（5）甲方应在全部货物到货安装完毕后的</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30</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u w:val="single"/>
                <w:shd w:val="clear" w:color="auto" w:fill="auto"/>
                <w:lang w:val="en-US" w:eastAsia="zh-CN"/>
                <w14:textFill>
                  <w14:solidFill>
                    <w14:schemeClr w14:val="tx1"/>
                  </w14:solidFill>
                </w14:textFill>
              </w:rPr>
              <w:t xml:space="preserve">24</w:t>
            </w:r>
            <w:r>
              <w:rPr>
                <w:rFonts w:hint="eastAsia" w:ascii="宋体" w:hAnsi="宋体"/>
                <w:color w:val="000000" w:themeColor="text1"/>
                <w:sz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highlight w:val="none"/>
                <w:shd w:val="clear" w:color="auto" w:fill="auto"/>
                <w14:textFill>
                  <w14:solidFill>
                    <w14:schemeClr w14:val="tx1"/>
                  </w14:solidFill>
                </w14:textFill>
              </w:rPr>
              <w:t xml:space="preserve">个月后，甲方组织对货物的质量及使用状况等进行最终验收。</w:t>
            </w:r>
            <w:r/>
          </w:p>
          <w:p>
            <w:pPr>
              <w:jc w:val="lef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pStyle w:val="804"/>
              <w:rPr>
                <w:highlight w:val="none"/>
              </w:rPr>
            </w:pPr>
            <w:r>
              <w:rPr>
                <w:rFonts w:hint="eastAsia" w:ascii="宋体" w:hAnsi="宋体"/>
                <w:color w:val="auto"/>
                <w:sz w:val="24"/>
                <w:highlight w:val="none"/>
                <w:shd w:val="clear" w:color="auto" w:fill="auto"/>
              </w:rPr>
              <w:t xml:space="preserve">（</w:t>
            </w:r>
            <w:r>
              <w:rPr>
                <w:rFonts w:hint="eastAsia" w:ascii="宋体" w:hAnsi="宋体"/>
                <w:color w:val="auto"/>
                <w:sz w:val="24"/>
                <w:highlight w:val="none"/>
                <w:shd w:val="clear" w:color="auto" w:fill="auto"/>
                <w:lang w:val="en-US" w:eastAsia="zh-CN"/>
              </w:rPr>
              <w:t xml:space="preserve">7</w:t>
            </w:r>
            <w:r>
              <w:rPr>
                <w:rFonts w:hint="eastAsia" w:ascii="宋体" w:hAnsi="宋体"/>
                <w:color w:val="auto"/>
                <w:sz w:val="24"/>
                <w:highlight w:val="none"/>
                <w:shd w:val="clear" w:color="auto" w:fill="auto"/>
              </w:rPr>
              <w:t xml:space="preserve">）乙方须提供各项社会考试的相关技术支持，在各项社会考试前后及进行期间提供满足甲方要求的技术支持与服务，相关费用由乙方自行承担。</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c>
          <w:tcPr>
            <w:tcW w:w="1789" w:type="dxa"/>
            <w:vAlign w:val="center"/>
            <w:textDirection w:val="lrTb"/>
            <w:noWrap w:val="false"/>
          </w:tcPr>
          <w:p>
            <w:pPr>
              <w:jc w:val="lef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税费</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1.中国政府根据现行税法规定对甲方征收的与本合同有关的一切税费均由甲方负担（免税部分除外），</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询价</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文件</w:t>
            </w:r>
            <w:r>
              <w:rPr>
                <w:rFonts w:hint="eastAsia" w:ascii="宋体" w:hAnsi="宋体"/>
                <w:color w:val="000000" w:themeColor="text1"/>
                <w:sz w:val="24"/>
                <w:highlight w:val="none"/>
                <w:shd w:val="clear" w:color="auto" w:fill="auto"/>
                <w14:textFill>
                  <w14:solidFill>
                    <w14:schemeClr w14:val="tx1"/>
                  </w14:solidFill>
                </w14:textFill>
              </w:rPr>
              <w:t xml:space="preserve">另有规定的除外。</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c>
          <w:tcPr>
            <w:tcW w:w="1789" w:type="dxa"/>
            <w:vAlign w:val="center"/>
            <w:textDirection w:val="lrTb"/>
            <w:noWrap w:val="false"/>
          </w:tcPr>
          <w:p>
            <w:pPr>
              <w:jc w:val="lef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伴随服务</w:t>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1.乙方应按照国家</w:t>
            </w:r>
            <w:r>
              <w:rPr>
                <w:rFonts w:hint="eastAsia" w:ascii="宋体" w:hAnsi="宋体"/>
                <w:b/>
                <w:color w:val="000000" w:themeColor="text1"/>
                <w:sz w:val="24"/>
                <w:highlight w:val="none"/>
                <w:shd w:val="clear" w:color="auto" w:fill="auto"/>
                <w14:textFill>
                  <w14:solidFill>
                    <w14:schemeClr w14:val="tx1"/>
                  </w14:solidFill>
                </w14:textFill>
              </w:rPr>
              <w:t xml:space="preserve">“新三包”</w:t>
            </w:r>
            <w:r>
              <w:rPr>
                <w:rFonts w:hint="eastAsia" w:ascii="宋体" w:hAnsi="宋体"/>
                <w:color w:val="000000" w:themeColor="text1"/>
                <w:sz w:val="24"/>
                <w:highlight w:val="none"/>
                <w:shd w:val="clear" w:color="auto" w:fill="auto"/>
                <w14:textFill>
                  <w14:solidFill>
                    <w14:schemeClr w14:val="tx1"/>
                  </w14:solidFill>
                </w14:textFill>
              </w:rPr>
              <w:t xml:space="preserve">规定和合同中所附的服务承诺提供服务。</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2.除第1条规定外，乙方还应提供下列服务：</w:t>
            </w:r>
            <w:r/>
          </w:p>
          <w:p>
            <w:pPr>
              <w:jc w:val="left"/>
              <w:rPr>
                <w:rFonts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 (1) </w:t>
            </w:r>
            <w:r>
              <w:rPr>
                <w:rFonts w:hint="eastAsia" w:ascii="宋体" w:hAnsi="宋体" w:eastAsia="宋体" w:cs="Times New Roman"/>
                <w:b/>
                <w:color w:val="000000" w:themeColor="text1"/>
                <w:sz w:val="24"/>
                <w:highlight w:val="none"/>
                <w:shd w:val="clear" w:color="auto" w:fill="auto"/>
                <w:lang w:val="en-US" w:eastAsia="zh-CN"/>
                <w14:textFill>
                  <w14:solidFill>
                    <w14:schemeClr w14:val="tx1"/>
                  </w14:solidFill>
                </w14:textFill>
              </w:rPr>
              <w:t xml:space="preserve">询价</w:t>
            </w:r>
            <w:r>
              <w:rPr>
                <w:rFonts w:hint="eastAsia" w:ascii="宋体" w:hAnsi="宋体" w:eastAsia="宋体" w:cs="Times New Roman"/>
                <w:b/>
                <w:color w:val="000000" w:themeColor="text1"/>
                <w:sz w:val="24"/>
                <w:highlight w:val="none"/>
                <w:shd w:val="clear" w:color="auto" w:fill="auto"/>
                <w14:textFill>
                  <w14:solidFill>
                    <w14:schemeClr w14:val="tx1"/>
                  </w14:solidFill>
                </w14:textFill>
              </w:rPr>
              <w:t xml:space="preserve">文件中</w:t>
            </w:r>
            <w:r>
              <w:rPr>
                <w:rFonts w:hint="eastAsia" w:ascii="宋体" w:hAnsi="宋体"/>
                <w:b/>
                <w:color w:val="000000" w:themeColor="text1"/>
                <w:sz w:val="24"/>
                <w:highlight w:val="none"/>
                <w:shd w:val="clear" w:color="auto" w:fill="auto"/>
                <w14:textFill>
                  <w14:solidFill>
                    <w14:schemeClr w14:val="tx1"/>
                  </w14:solidFill>
                </w14:textFill>
              </w:rPr>
              <w:t xml:space="preserve">的“服务要求”所规定的服务内容以及</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响应</w:t>
            </w:r>
            <w:r>
              <w:rPr>
                <w:rFonts w:hint="eastAsia" w:ascii="宋体" w:hAnsi="宋体"/>
                <w:b/>
                <w:color w:val="000000" w:themeColor="text1"/>
                <w:sz w:val="24"/>
                <w:highlight w:val="none"/>
                <w:shd w:val="clear" w:color="auto" w:fill="auto"/>
                <w14:textFill>
                  <w14:solidFill>
                    <w14:schemeClr w14:val="tx1"/>
                  </w14:solidFill>
                </w14:textFill>
              </w:rPr>
              <w:t xml:space="preserve">文件承诺提供的其他服务内容；</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(2) 负责货物的开孔，货物的现场安装；</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(3) 提供货物组装和维修所需的工具；</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(5) 在货物交货现场就货物的安装、启用、维护等对甲方人员进行培训。</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索赔</w:t>
            </w:r>
            <w:r/>
          </w:p>
          <w:p>
            <w:pPr>
              <w:jc w:val="left"/>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1.甲方有权根据当地质检部门出具的检验报告，向乙方提出索赔。</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 (2) 根据货物的低劣程度、损坏程度以及甲方所遭受损失的数额，乙方必须降低货物的价格。</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000000" w:themeColor="text1"/>
                <w:sz w:val="24"/>
                <w:highlight w:val="none"/>
                <w:shd w:val="clear" w:color="auto" w:fill="auto"/>
                <w14:textFill>
                  <w14:solidFill>
                    <w14:schemeClr w14:val="tx1"/>
                  </w14:solidFill>
                </w14:textFill>
              </w:rPr>
            </w:pPr>
            <w:r>
              <w:rPr>
                <w:rFonts w:ascii="宋体" w:hAnsi="宋体"/>
                <w:color w:val="000000" w:themeColor="text1"/>
                <w:sz w:val="24"/>
                <w:highlight w:val="none"/>
                <w:shd w:val="clear" w:color="auto" w:fill="auto"/>
                <w14:textFill>
                  <w14:solidFill>
                    <w14:schemeClr w14:val="tx1"/>
                  </w14:solidFill>
                </w14:textFill>
              </w:rPr>
            </w:r>
            <w:r/>
          </w:p>
        </w:tc>
        <w:tc>
          <w:tcPr>
            <w:tcW w:w="1789"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合同生效</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及其他</w:t>
            </w:r>
            <w:r/>
          </w:p>
          <w:p>
            <w:pPr>
              <w:jc w:val="left"/>
              <w:rPr>
                <w:rFonts w:ascii="宋体" w:hAnsi="宋体"/>
                <w:bCs/>
                <w:color w:val="000000" w:themeColor="text1"/>
                <w:sz w:val="24"/>
                <w:highlight w:val="none"/>
                <w:shd w:val="clear" w:color="auto" w:fill="auto"/>
                <w14:textFill>
                  <w14:solidFill>
                    <w14:schemeClr w14:val="tx1"/>
                  </w14:solidFill>
                </w14:textFill>
              </w:rPr>
            </w:pPr>
            <w:r>
              <w:rPr>
                <w:rFonts w:ascii="宋体" w:hAnsi="宋体"/>
                <w:bCs/>
                <w:color w:val="000000" w:themeColor="text1"/>
                <w:sz w:val="24"/>
                <w:highlight w:val="none"/>
                <w:shd w:val="clear" w:color="auto" w:fill="auto"/>
                <w14:textFill>
                  <w14:solidFill>
                    <w14:schemeClr w14:val="tx1"/>
                  </w14:solidFill>
                </w14:textFill>
              </w:rPr>
            </w:r>
            <w:r/>
          </w:p>
        </w:tc>
        <w:tc>
          <w:tcPr>
            <w:tcW w:w="5170" w:type="dxa"/>
            <w:vAlign w:val="center"/>
            <w:textDirection w:val="lrTb"/>
            <w:noWrap w:val="false"/>
          </w:tcPr>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 合同经甲方、乙方盖章后生效。</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 货物交付使用后所发生的合同纠纷，由甲方与乙方协商处理。</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3.如需修改（指非主要合同条款）或补充合同内容，应经甲方、乙方协商，且修改及补充内容不得对本合同主要条</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款、</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询价</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文件和</w:t>
            </w:r>
            <w:r>
              <w:rPr>
                <w:rFonts w:hint="eastAsia" w:ascii="宋体" w:hAnsi="宋体"/>
                <w:color w:val="000000" w:themeColor="text1"/>
                <w:sz w:val="24"/>
                <w:highlight w:val="none"/>
                <w:shd w:val="clear" w:color="auto" w:fill="auto"/>
                <w14:textFill>
                  <w14:solidFill>
                    <w14:schemeClr w14:val="tx1"/>
                  </w14:solidFill>
                </w14:textFill>
              </w:rPr>
              <w:t xml:space="preserve">中标人的</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响应</w:t>
            </w:r>
            <w:r>
              <w:rPr>
                <w:rFonts w:hint="eastAsia" w:ascii="宋体" w:hAnsi="宋体"/>
                <w:color w:val="000000" w:themeColor="text1"/>
                <w:sz w:val="24"/>
                <w:highlight w:val="none"/>
                <w:shd w:val="clear" w:color="auto" w:fill="auto"/>
                <w14:textFill>
                  <w14:solidFill>
                    <w14:schemeClr w14:val="tx1"/>
                  </w14:solidFill>
                </w14:textFill>
              </w:rPr>
              <w:t xml:space="preserve">文件作实质性修改，并签署书面修改或补充协议。该协议将作为本合同不可分割的一部分。</w:t>
            </w:r>
            <w:r/>
          </w:p>
          <w:p>
            <w:pPr>
              <w:jc w:val="lef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4.本合同应按照中华人民共和国的现行法律进行解释。本合同未尽事宜，遵照《中华人民共和国民法典》</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color w:val="000000" w:themeColor="text1"/>
                <w:sz w:val="24"/>
                <w:highlight w:val="none"/>
                <w:shd w:val="clear" w:color="auto" w:fill="auto"/>
                <w14:textFill>
                  <w14:solidFill>
                    <w14:schemeClr w14:val="tx1"/>
                  </w14:solidFill>
                </w14:textFill>
              </w:rPr>
              <w:t xml:space="preserve">等有关条文执行。</w:t>
            </w:r>
            <w:r/>
          </w:p>
        </w:tc>
      </w:tr>
    </w:tbl>
    <w:p>
      <w:pPr>
        <w:rPr>
          <w:color w:val="000000" w:themeColor="text1"/>
          <w:sz w:val="24"/>
          <w:highlight w:val="none"/>
          <w:shd w:val="clear" w:color="auto" w:fill="auto"/>
          <w14:textFill>
            <w14:solidFill>
              <w14:schemeClr w14:val="tx1"/>
            </w14:solidFill>
          </w14:textFill>
        </w:rPr>
      </w:pPr>
      <w:r>
        <w:rPr>
          <w:color w:val="000000" w:themeColor="text1"/>
          <w:sz w:val="24"/>
          <w:highlight w:val="none"/>
          <w:shd w:val="clear" w:color="auto" w:fill="auto"/>
          <w14:textFill>
            <w14:solidFill>
              <w14:schemeClr w14:val="tx1"/>
            </w14:solidFill>
          </w14:textFill>
        </w:rPr>
      </w:r>
      <w:r/>
    </w:p>
    <w:p>
      <w:pPr>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spacing w:before="120" w:beforeAutospacing="0" w:after="120" w:afterAutospacing="0" w:line="0" w:lineRule="atLeast"/>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br w:type="page" w:clear="all"/>
      </w:r>
      <w:r/>
    </w:p>
    <w:p>
      <w:pPr>
        <w:pStyle w:val="796"/>
        <w:jc w:val="center"/>
        <w:spacing w:before="120" w:beforeAutospacing="0" w:after="120" w:afterAutospacing="0" w:line="0" w:lineRule="atLeast"/>
        <w:widowControl w:val="off"/>
        <w:rPr>
          <w:color w:val="000000" w:themeColor="text1"/>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t xml:space="preserve">第</w:t>
      </w:r>
      <w:bookmarkEnd w:id="129"/>
      <w:r>
        <w:rPr>
          <w:rFonts w:hint="eastAsia" w:ascii="黑体" w:eastAsia="黑体" w:cs="黑体"/>
          <w:color w:val="000000" w:themeColor="text1"/>
          <w:sz w:val="44"/>
          <w:szCs w:val="44"/>
          <w:highlight w:val="none"/>
          <w:shd w:val="clear" w:color="auto" w:fill="auto"/>
          <w14:textFill>
            <w14:solidFill>
              <w14:schemeClr w14:val="tx1"/>
            </w14:solidFill>
          </w14:textFill>
        </w:rPr>
        <w:t xml:space="preserve">四章 采购需求</w:t>
      </w:r>
      <w:bookmarkEnd w:id="130"/>
      <w:r/>
      <w:bookmarkEnd w:id="131"/>
      <w:r/>
      <w:bookmarkEnd w:id="132"/>
      <w:r/>
      <w:bookmarkEnd w:id="133"/>
      <w:r/>
      <w:bookmarkStart w:id="140" w:name="_Toc49090575"/>
      <w:r/>
      <w:bookmarkEnd w:id="140"/>
      <w:r/>
      <w:bookmarkStart w:id="141" w:name="_Toc26554093"/>
      <w:r/>
      <w:bookmarkEnd w:id="141"/>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项目属性：货物类项目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采购需求包括拟采购的标的及其需要满足的技术、商务要求。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项目基本情况</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1.项目编号：JSZC-320900-RHHH-X2025-0145</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2.项目名称：盐城农业科技职业学院大数据应用实训室实训平台及配套设备采购项目</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3.采购方式：询价</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4.预算金额：107万元</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5.最高限价（如有）：101.65万元</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6.采购需求（简介）：盐城农业科技职业学院大数据应用实训室实训平台及配套设备采购项目，包含大数据实训平台及运维系统、大数据仿真资源包、大数据项目实训资源包、配套硬件等，详细内容见本询价文件第四章。</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7.合同履行期限：20日历天，具体服从采购人要求。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8.质量要求：合格。</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质保期要求：</w:t>
      </w: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响应招标文件要求</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一、技术要求是指对采购标的功能和质量要求，包括性能、材料、结构、外观、安全，或者服务内容和标准等。</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本项目相关需求如下：</w:t>
      </w:r>
      <w:r/>
    </w:p>
    <w:p>
      <w:pPr>
        <w:spacing w:line="560" w:lineRule="exact"/>
        <w:rPr>
          <w:rFonts w:hint="eastAsia" w:ascii="宋体" w:hAnsi="宋体"/>
          <w:b/>
          <w:sz w:val="24"/>
          <w:szCs w:val="24"/>
          <w:highlight w:val="none"/>
        </w:rPr>
      </w:pPr>
      <w:r>
        <w:rPr>
          <w:rFonts w:hint="eastAsia" w:ascii="宋体" w:hAnsi="宋体"/>
          <w:b/>
          <w:sz w:val="24"/>
          <w:szCs w:val="24"/>
          <w:highlight w:val="none"/>
        </w:rPr>
        <w:t xml:space="preserve">1、采购标的明细表：</w:t>
      </w:r>
      <w:r/>
    </w:p>
    <w:p>
      <w:pPr>
        <w:spacing w:line="560" w:lineRule="exact"/>
        <w:rPr>
          <w:rFonts w:hint="eastAsia" w:ascii="宋体" w:hAnsi="宋体"/>
          <w:b/>
          <w:sz w:val="24"/>
          <w:szCs w:val="24"/>
          <w:highlight w:val="none"/>
        </w:rPr>
      </w:pPr>
      <w:r>
        <w:rPr>
          <w:rFonts w:hint="eastAsia" w:ascii="宋体" w:hAnsi="宋体"/>
          <w:b/>
          <w:sz w:val="24"/>
          <w:szCs w:val="24"/>
          <w:highlight w:val="none"/>
        </w:rPr>
      </w:r>
      <w:r/>
    </w:p>
    <w:tbl>
      <w:tblPr>
        <w:tblStyle w:val="773"/>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187"/>
        <w:gridCol w:w="5100"/>
        <w:gridCol w:w="731"/>
        <w:gridCol w:w="731"/>
        <w:gridCol w:w="867"/>
      </w:tblGrid>
      <w:tr>
        <w:trPr>
          <w:jc w:val="center"/>
          <w:trHeight w:val="425"/>
          <w:tblHeader/>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序号</w:t>
            </w:r>
            <w:r/>
          </w:p>
        </w:tc>
        <w:tc>
          <w:tcPr>
            <w:tcW w:w="636"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项目名称</w:t>
            </w:r>
            <w:r/>
          </w:p>
        </w:tc>
        <w:tc>
          <w:tcPr>
            <w:tcW w:w="2735"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内容明细</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数量</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单位</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备注</w:t>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636" w:type="pct"/>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大数据实训平台及运维系统</w:t>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平台基础模块系统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职业技能鉴定系统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3</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数字化人才培养系统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核心产品</w:t>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4</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教学生产实训系统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5</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大数据云计算仿真系统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数据统计与可视化系统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技能竞赛系统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8</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大数据电商机器人系统</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9</w:t>
            </w:r>
            <w:r/>
          </w:p>
        </w:tc>
        <w:tc>
          <w:tcPr>
            <w:tcW w:w="636" w:type="pct"/>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大数据仿真资源包</w:t>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课程资源1-Javascript程序基础</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10</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课程资源2-Web前端网页开发</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11</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课程资源3-jQuery精品课</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12</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课程资源4-PHP-MySQL</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13</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课程资源5-linux系统基础</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14</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课程资源6-Python进阶</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15</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课程资源7-分布式Hadoop应用</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16</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课程资源8-Spark技术与应用</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17</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课程资源9-大数据采集技术</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18</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课程资源10-大数据运算与处理</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19</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课程资源11-大数据可视化应用</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20</w:t>
            </w:r>
            <w:r/>
          </w:p>
        </w:tc>
        <w:tc>
          <w:tcPr>
            <w:tcW w:w="636" w:type="pct"/>
            <w:vAlign w:val="center"/>
            <w:vMerge w:val="restart"/>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大数据项目实训资源包</w:t>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生产实训项目资源1-餐厅订单数据分析与可视化</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21</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生产实训项目资源2-电商平台用户行为分析与可视化</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22</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生产实训项目资源3-分布式文件环境搭建</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23</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生产实训项目资源4-就业数据采集与处理</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24</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生产实训项目资源5-抖音用户行为数据分析（Spark）</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套</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25</w:t>
            </w:r>
            <w:r/>
          </w:p>
        </w:tc>
        <w:tc>
          <w:tcPr>
            <w:tcW w:w="636" w:type="pct"/>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硬件</w:t>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大数据实训管理节点（高性能服务器）</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台</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26</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bCs/>
                <w:sz w:val="24"/>
                <w:szCs w:val="24"/>
                <w:highlight w:val="none"/>
              </w:rPr>
            </w:pPr>
            <w:r>
              <w:rPr>
                <w:rFonts w:hint="eastAsia" w:ascii="宋体" w:hAnsi="宋体"/>
                <w:color w:val="000000"/>
                <w:sz w:val="24"/>
                <w:szCs w:val="24"/>
                <w:highlight w:val="none"/>
                <w:lang w:bidi="ar"/>
              </w:rPr>
              <w:t xml:space="preserve">大数据实训计算节点（超融合大数据云计算服务器）</w:t>
            </w:r>
            <w:r/>
          </w:p>
        </w:tc>
        <w:tc>
          <w:tcPr>
            <w:tcW w:w="391" w:type="pct"/>
            <w:vAlign w:val="center"/>
            <w:textDirection w:val="lrTb"/>
            <w:noWrap w:val="false"/>
          </w:tcPr>
          <w:p>
            <w:pPr>
              <w:jc w:val="center"/>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2</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台</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r>
        <w:trPr>
          <w:jc w:val="center"/>
          <w:trHeight w:val="425"/>
        </w:trPr>
        <w:tc>
          <w:tcPr>
            <w:tcW w:w="378" w:type="pct"/>
            <w:vAlign w:val="center"/>
            <w:textDirection w:val="lrTb"/>
            <w:noWrap w:val="false"/>
          </w:tcPr>
          <w:p>
            <w:pPr>
              <w:jc w:val="center"/>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27</w:t>
            </w:r>
            <w:r/>
          </w:p>
        </w:tc>
        <w:tc>
          <w:tcPr>
            <w:tcW w:w="636" w:type="pct"/>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2735" w:type="pct"/>
            <w:vAlign w:val="center"/>
            <w:textDirection w:val="lrTb"/>
            <w:noWrap w:val="false"/>
          </w:tcPr>
          <w:p>
            <w:pPr>
              <w:jc w:val="center"/>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t xml:space="preserve">算力服务器（AI/深度学习/数据库专用）</w:t>
            </w:r>
            <w:r/>
          </w:p>
        </w:tc>
        <w:tc>
          <w:tcPr>
            <w:tcW w:w="391" w:type="pct"/>
            <w:vAlign w:val="center"/>
            <w:textDirection w:val="lrTb"/>
            <w:noWrap w:val="false"/>
          </w:tcPr>
          <w:p>
            <w:pPr>
              <w:jc w:val="center"/>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1</w:t>
            </w:r>
            <w:r/>
          </w:p>
        </w:tc>
        <w:tc>
          <w:tcPr>
            <w:tcW w:w="39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台</w:t>
            </w:r>
            <w:r/>
          </w:p>
        </w:tc>
        <w:tc>
          <w:tcPr>
            <w:tcW w:w="464"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bl>
    <w:p>
      <w:pPr>
        <w:spacing w:line="500" w:lineRule="exact"/>
        <w:rPr>
          <w:rFonts w:hint="eastAsia" w:ascii="宋体" w:hAnsi="宋体"/>
          <w:sz w:val="24"/>
          <w:szCs w:val="24"/>
          <w:highlight w:val="none"/>
        </w:rPr>
      </w:pPr>
      <w:r>
        <w:rPr>
          <w:rFonts w:hint="eastAsia" w:ascii="宋体" w:hAnsi="宋体"/>
          <w:b/>
          <w:sz w:val="24"/>
          <w:szCs w:val="24"/>
          <w:highlight w:val="none"/>
        </w:rPr>
        <w:t xml:space="preserve">2、具体技术要求</w:t>
      </w:r>
      <w:r/>
    </w:p>
    <w:p>
      <w:pPr>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大数据实训平台及运维系统</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（一）平台基础模块系统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平台基础模块是整个系统运行的底层保障，提供有对系统数据的统一管理数据仓库系统，能够进行统一数据权限的管理与分配，极大的提高了扩展与数据的安全性。同时配有服务器运行监控系统，保障服务器在运行期间能够进行自我检测、运行监控的功能提高系统的容错与运行保障，对于其他系统模块的用户数据的权限与登录起到唯一验证作用，为系统安全稳定运行提供基础保障。</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平台基础模块平台基础数据管理须包含功能模块：基础数据管理、单点登录及权限、数据通讯队列、数据安全处理、服务器运行监控、后台数据管理等主要业务模块：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基础数据管理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创建标准学校、班级、学生、教师、专业、课程等相关基础数据模型，以及关联关系。</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开发数据模型的维护功能，可以进行单条数据、多条数据的更新维护功能。</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对数据模型进行接口、模块化处理，提供可扩展集成型的数据维护管理环境。</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单点登录及权限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学生与教师登录系统的统一登录验证功能。</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可以对接入的系统模块进行权限配置。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可以进行账号登录密码的修改。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当系统在多个设备登录时，进行系统唯一登录验证，并自动将之前登录状态下线。</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单点系统支持后台权限配置，系统功能以及角色分配。</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数据通讯队列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建立系统级别之间的数据通信规则，通过MQ消息队列机制进行个系统间的结构行优化。</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创建MQ消息队列系统，接收系统之间的数据通信。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系统间通过Http方式进行数据的交互处理，通过MQ进行数据中转，分别以即时、非即时的方式进行数据传递。</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系统记录每次消息队列中通信数据，形成日志，提供查询功能。</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消息队列系统后台中可以定义接入系统信息、消息队列类型、通信方式、开放权限等配置。</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数据安全处理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每个接入系统需要通过获得的系统ID和密钥对数据进行加工处理，通过MD5方式进行数据通信加密验证。</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数据通信时会对系统数据权限进行验证。</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数据通信关键词、敏感词检测。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通信时发现问题数据，进行日志保存，提供运维数据查询。</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数据通信白名单系统。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数据通信防暴力破解。</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服务器运行监控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服务运行情况及数据监控的实时系统Grafana。</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可以查看相关服务器的运行情况数据信息，包括：cpu、内存、网络通信、内网、外网通信、运行温度等数据的分时统计记录。</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可以查看服务器运行的历史数据。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运行数据通过统计折线图进行展示，分别展示5分钟、1小时、1天等个时间段数据信息。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后台数据管理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可以进行全部人员权限相关数据的管理和维护。</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可以对数据仓库中的基础相关数据进行管理维护。</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可以单点登录系统中系统权限、人员权限数据进行管理和维护。</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能够对平台中的个项目数据进行管理和维护。</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（二）职业技能鉴定系统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应用于定制行业平台中的专业岗位技能等标准的定制，为教学、实训、产教融合平台提供基础技能评价体系的标准化实施方案，同时能够针对岗位所工作的内容定制典型工作任务与代表性工作任务的详细信息，将行业各个岗位群所做的工作及内容进行合理定制，形成后面学习资源评价与实训系统项目的设计参照与数据来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行业标准制定系统须包含功能模块：专业管理、岗位群管理、典型工作任务管理、代表性工作任务管理、工作任务能力制定、岗位工作技能制定等主要业务模块：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评价体系制定</w:t>
      </w:r>
      <w:r/>
    </w:p>
    <w:p>
      <w:pPr>
        <w:ind w:firstLine="480"/>
        <w:spacing w:line="300" w:lineRule="auto"/>
        <w:rPr>
          <w:rFonts w:hint="eastAsia" w:ascii="宋体" w:hAnsi="宋体"/>
          <w:b/>
          <w:bCs/>
          <w:color w:val="ff0000"/>
          <w:sz w:val="24"/>
          <w:szCs w:val="24"/>
          <w:highlight w:val="none"/>
          <w:lang w:eastAsia="zh"/>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）通过专业评价系统，可以按照人才培养方案</w:t>
      </w:r>
      <w:r>
        <w:rPr>
          <w:rFonts w:hint="eastAsia" w:ascii="宋体" w:hAnsi="宋体"/>
          <w:sz w:val="24"/>
          <w:szCs w:val="24"/>
          <w:highlight w:val="none"/>
          <w:lang w:eastAsia="zh"/>
        </w:rPr>
        <w:t xml:space="preserve">建设体系，构建岗位、典型工作任务、工作内容、技能要求指标，并且其指标直接与大数据的课程、实训课程相关联，点击岗位、典型工作任务时提示相关课程信息。提供岗位与课程资源关系查看功能，通过表格的方式进行关系的呈现，必须体现出基础课、核心课、实训课之间与典型职业活动的关系，其中典型工作任务可以点击查看其相关的知识图谱，同时系统按照人才培养方案标准提供在线演示功能，能够呈现方案中的培养目标、培养规格，通过教学计划表单展示教学安排信息，并提供职业典型工作任务分析表内容的展示，展示岗位、典型工作任务与职业能力要求的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制定专业方向及详细介绍信息、添加专业下的岗位信息。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针对专业岗位可以制定其岗位群信息，以及岗位群内岗位的晋升关系。</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能够为岗位能力要求，添加典型职业活动工作任务要求，工作应用场景评价信息。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能够制定多级知识技能结构，形成知识图谱，对工作应用场景的评价进行细化展开。</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项目库标准制定</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项目库按照企业项目及项目开展中管理进行设计，提供项目的详细实施信息标准信息。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可以针对项目库设计详细的需求说明分析信息。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制定项目库中的标准设计方案文档，文档能下载或在线预览。</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可以上传项目文件、图片信息，图片支持多层级展开查看与预览查询。</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可以针对项目展开进行任务实施的任务分解编辑。</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项目库能够绑定到标准体系的工作任务要求中，引入到教材编辑系统提供教学案例实训资源作为参考。</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教学诊断</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系统针对评价系统对学生在学习数字教材的过程与答题、实训过程的评价进行能力汇总与测评形成能力画像。</w:t>
      </w:r>
      <w:r/>
    </w:p>
    <w:p>
      <w:pPr>
        <w:ind w:firstLine="482"/>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2</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汇总来自学习中的数据进行技能要求、知识点的评价数据，形成学生的技能图谱与学习正相关进度数据进行展示。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能够通过知识图谱进行答题数据的回溯。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汇总来自教材中实训项目中任务成果评价信息，进行岗位工作任务信息能力的汇总与展示。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能够进行工作任务能力的项目回溯，查看参与的实训项目与实训项目完成情况评价信息。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系统针对教材的学习产生学习日志分析数据，为书籍测评、班级学习测评提供数据的支持。</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（三）数字化人才培养系统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提供了一套完整的在线学习的平台环境，可以组织学生进行课程的学习、练习、测验、考核及对应的评价体系。针对学习方面提供精熟教学体系系统，可以针对课程中的章节进行考核评价与重修，保证学生充分掌握所学的知识。同时提供多种学习数据分析系统模块，可以针对班级、专业、课程以及个人进行多维度的学习数据统计汇总，提高教师在教学过程中的节奏把控与教学成效。</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数字化人才培养系统须包含功能模块：数字化教学系统（个人中心、我的课程、课程列表、课程教学系统、练习教学系统、闯关教学系统、考核教学系统、模拟考试系统、错题回顾系统）站内信、个人档案、账号数据管理（教师管理、班级学生管理）、精熟教学管理（自定义教学模块、授课管理、教学数据统计、考试内容管理、考试结果统计）、数字化教学诊断系统（班级学情分析、课程学情分析、学生勤奋值分析、考核任务分析、做事能力分析、学习日志、个人学情分析）、课程管理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课程列表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进入课程列表后展示该课程的基本信息、包括课程的目标、课程章节、小节列表信息。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每个章节都会有对应的章节目标，点击后可以进行详细内容查看。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每个小节的下方有练习题列表。每道练习题都会显示用户当前是否完成的状态，如果配置为必做，则会进行特殊提醒。</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每个小节根据配置，可以展示一个或多个考核任务信息，每个考核任务展示当前任务状态</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课程教学系统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从课程小节进入后，展示该小节的全部教学内容阶段信息，包括教学内容、练习、微课视频、及章节闯关的入口。</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可以根据定义的教学阶段进行学习内容的切换。</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闯关测试入口根据配置题目、用户答题的情况，展示不同状态，包括：未通过、已通过等提示。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练习题展示当前制作的完成状态。</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练习教学系统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展示当前练习题的目标内容、练习题的具体要求信息。当用户完成练习后，更新练习状态。</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练习教学可以对接虚拟仿真系统，展示虚拟仿真中练习内容。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考核教学系统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通过课程小节进入考核系统后，展示考核内容要求信息。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用户可以通过考核要求信息，通过文本、文件上传、视频上传等凡事完成基本的考核内容。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考核系统对接虚拟仿真，可以针对不同专业配置考核及完成方式。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考核完成后可以提交，撤销完成状态，可以查看考核评价结果信息。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模拟考试系统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用户在课程列表中可以进入模拟考试系统，展示已经配置好的试卷信息。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系统根据考试配置的时间进行自动开放和关闭试卷。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学生可以进行试卷答题，答题过程中可以看到已答题状态信息。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答题后系统会自动进行判分并进行显示。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考试系统可以对接并引入虚拟仿真系统试题。</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学习档案</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展示用户的基本个人信息。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统计汇总学生课程的学习进度数据并显示。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可以查询学生岗位对应的做事能力统计信息。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可以查看学生已经完成的考核项目信息，同时可以查看学生具体完成项目的详细信息。</w:t>
      </w:r>
      <w:r/>
    </w:p>
    <w:p>
      <w:pPr>
        <w:ind w:firstLine="482"/>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可以查看学生参与过的生产实训项目及相关的评价信息。同时可以查看学生完成项目的详细信息。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7、</w:t>
      </w:r>
      <w:r>
        <w:rPr>
          <w:rFonts w:hint="eastAsia" w:ascii="宋体" w:hAnsi="宋体"/>
          <w:sz w:val="24"/>
          <w:szCs w:val="24"/>
          <w:highlight w:val="none"/>
        </w:rPr>
        <w:t xml:space="preserve">班级学生管理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维护学习平台中的班级数据。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可以针对班级分配所上课程信息。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可以针对每个班级进行学生数据的维护，同时可以下载学生模版进行数据的批量导入。</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可以分配班级试卷信息，对应学生课程中的答卷。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可以进行学生快速调班、批量调班处理。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可以对已经删除的学生进行恢复，重新安排班级处理。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可以对班级及课程分配上课教师。</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8、</w:t>
      </w:r>
      <w:r>
        <w:rPr>
          <w:rFonts w:hint="eastAsia" w:ascii="宋体" w:hAnsi="宋体"/>
          <w:sz w:val="24"/>
          <w:szCs w:val="24"/>
          <w:highlight w:val="none"/>
        </w:rPr>
        <w:t xml:space="preserve">授课管理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教师可以查看所上课程的信息，可以根据班级和课程进行筛选查询。</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2</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课程内容可以根据章节进行切换，展示课程小节详细信息，包括：课程测验题完成进度、练习题完成进度、分配的考核完成情况信息。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教师可以查看课程中已经配置的练习题内容，并指定必做的重点练习内容，可以查看练习的学生完成进度信息。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教师可以指定当前小节的考核内容，查看学生制作考核内容的结果状态并进行评价。</w:t>
      </w:r>
      <w:r/>
    </w:p>
    <w:p>
      <w:pPr>
        <w:ind w:firstLine="480"/>
        <w:spacing w:line="300" w:lineRule="auto"/>
        <w:rPr>
          <w:rFonts w:hint="eastAsia" w:ascii="宋体" w:hAnsi="宋体"/>
          <w:sz w:val="24"/>
          <w:szCs w:val="24"/>
          <w:highlight w:val="none"/>
          <w:lang w:eastAsia="zh"/>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精熟教学考核评价，可以针对章节定义考核评价内容。在考核完成后，教师可以查看每个学生的考核任务完成情况，查看每个学生的代码、可以在线运行代码查看实时运行效果。提供系统评价功能与代码编写过程统计结果数据统计，同时教师可以进行问题的提交反馈给学生进行考核问题的解决。</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9、</w:t>
      </w:r>
      <w:r>
        <w:rPr>
          <w:rFonts w:hint="eastAsia" w:ascii="宋体" w:hAnsi="宋体"/>
          <w:sz w:val="24"/>
          <w:szCs w:val="24"/>
          <w:highlight w:val="none"/>
        </w:rPr>
        <w:t xml:space="preserve">教学数据统计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可以根据班级、课程、课程章节内容查找当前学生学习完成情况信息。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可以查看当前章节全部学生的每个练习完成情况明细信息。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可以查看每个学生闯过测试的通过情况信息。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可以查看已经分配的考核学生的评价结果信息。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10、</w:t>
      </w:r>
      <w:r>
        <w:rPr>
          <w:rFonts w:hint="eastAsia" w:ascii="宋体" w:hAnsi="宋体"/>
          <w:sz w:val="24"/>
          <w:szCs w:val="24"/>
          <w:highlight w:val="none"/>
        </w:rPr>
        <w:t xml:space="preserve">考试内容管理</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课程自定义考试信息，定义考试时间，总分以及得分规则等考试安排信息的配置。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进行试卷内试题的管理，可以检索题库系统中的试题，并引入，同时设置试题的得分，顺序等信息。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可以快速检索、预览试题详细信息。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系统可以对接虚拟仿真系统，将测试题进行引入。</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11、</w:t>
      </w:r>
      <w:r>
        <w:rPr>
          <w:rFonts w:hint="eastAsia" w:ascii="宋体" w:hAnsi="宋体"/>
          <w:sz w:val="24"/>
          <w:szCs w:val="24"/>
          <w:highlight w:val="none"/>
        </w:rPr>
        <w:t xml:space="preserve">考试结果统计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可以根据试卷、班级查询每个学生的考核结果，展示每道题的得分情况。</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可以查看学生每道题的答题过程中的正误详细信息。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12、</w:t>
      </w:r>
      <w:r>
        <w:rPr>
          <w:rFonts w:hint="eastAsia" w:ascii="宋体" w:hAnsi="宋体"/>
          <w:sz w:val="24"/>
          <w:szCs w:val="24"/>
          <w:highlight w:val="none"/>
        </w:rPr>
        <w:t xml:space="preserve">班级学情分析</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展示当前系统中全部学生的课程学习进度信息，并通过图表方式显示学生所占进度的比例数据。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可以通过班级、课程查看课程课程的详细完成信息，包括：课程完成进度、学生的最后学习时间、课程错题数量信息。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可以重制学生的课程测试闯过的完成进度数据。</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13、</w:t>
      </w:r>
      <w:r>
        <w:rPr>
          <w:rFonts w:hint="eastAsia" w:ascii="宋体" w:hAnsi="宋体"/>
          <w:sz w:val="24"/>
          <w:szCs w:val="24"/>
          <w:highlight w:val="none"/>
        </w:rPr>
        <w:t xml:space="preserve">课程学情分析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根据班级、课程进行数据筛选，查询指定时间内的学生课程、练习以及视频的完成进度数据。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可以查看针对课程的答题数量及正确率统计数据。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可以以个人为中心查看，该课程中每一个小节答题数据、练习完成情况以及视频的观看进度数据。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可以按照课程统计小节答题的正确率、练习的中完成情况和视频的观看情况，并且可以查询相关的明细信息。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可以查看学情汇总信息，查看每个学生在一段时间内的课程完成进数据并通过图表形式展示。</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14、</w:t>
      </w:r>
      <w:r>
        <w:rPr>
          <w:rFonts w:hint="eastAsia" w:ascii="宋体" w:hAnsi="宋体"/>
          <w:sz w:val="24"/>
          <w:szCs w:val="24"/>
          <w:highlight w:val="none"/>
        </w:rPr>
        <w:t xml:space="preserve">学生勤奋值分析</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查询学生在一段时间内的学习数据汇总信息，并以统计图方式进行展示。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可以根据班级、日期等方式进行数据筛选。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汇总显示学生在一段时间内的做题数量和正确率、练习做题情况、考核任务数量。</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15、</w:t>
      </w:r>
      <w:r>
        <w:rPr>
          <w:rFonts w:hint="eastAsia" w:ascii="宋体" w:hAnsi="宋体"/>
          <w:sz w:val="24"/>
          <w:szCs w:val="24"/>
          <w:highlight w:val="none"/>
        </w:rPr>
        <w:t xml:space="preserve">考核任务分析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根据岗位类型、班级查询全部学生对应岗位的全部考核完成情况信息、考核评价信息。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可以查询指定考核内容的全部评价项的考核信息。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可以直接查看学生考核制作的内容。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该系统对接做事能力系统中的考核任务功能，并进行数据对接管理。</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16、</w:t>
      </w:r>
      <w:r>
        <w:rPr>
          <w:rFonts w:hint="eastAsia" w:ascii="宋体" w:hAnsi="宋体"/>
          <w:sz w:val="24"/>
          <w:szCs w:val="24"/>
          <w:highlight w:val="none"/>
        </w:rPr>
        <w:t xml:space="preserve">技能能力分析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根据不同岗位查询所需要的岗位技能的做事能力汇总数据。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可以查看做事能力的详细的能力信息，并以图表方式进行展示。</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3</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当选择做事能力时，显示当前能力所对应的典型考核任务信息以及对能力产生影响的评价项目信息。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可以快速进入考核任务，查看学生所做的内容。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17、</w:t>
      </w:r>
      <w:r>
        <w:rPr>
          <w:rFonts w:hint="eastAsia" w:ascii="宋体" w:hAnsi="宋体"/>
          <w:sz w:val="24"/>
          <w:szCs w:val="24"/>
          <w:highlight w:val="none"/>
        </w:rPr>
        <w:t xml:space="preserve">个人学情分析</w:t>
      </w:r>
      <w:r/>
    </w:p>
    <w:p>
      <w:pPr>
        <w:ind w:firstLine="482"/>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查看学习过程中对岗位工作技能评价的数据统计信息。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查看生产实训过程最工作任务能力的评价数据统计信息。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查看学生课程学习记录信息，包括：课程答题、练习、视频、章节、小节的学习情况数据统计信息。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查看学生答题日志信息，答题时间、答题状态以及答题结果信息。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查看学生学习日志信息，包括：平台操作系统模块与时间等信息。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查看典型工作任务，即考核任务的作答与评价汇总信息。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查看学习过程中测验题错题记录信息。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18、</w:t>
      </w:r>
      <w:r>
        <w:rPr>
          <w:rFonts w:hint="eastAsia" w:ascii="宋体" w:hAnsi="宋体"/>
          <w:sz w:val="24"/>
          <w:szCs w:val="24"/>
          <w:highlight w:val="none"/>
        </w:rPr>
        <w:t xml:space="preserve">课程管理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自定义课程内容，创建课程，编辑课程列表结构数据。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可以针对课程小节，添加教学、练习、测试题、考核内容信息。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可以在教学、练习、测试题和考核内容编辑时，引入虚拟仿真对应的功能模块内容。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可以快速预览已经编辑的课程信息。</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（四）教学生</w:t>
      </w:r>
      <w:r>
        <w:rPr>
          <w:rFonts w:hint="eastAsia" w:ascii="宋体" w:hAnsi="宋体"/>
          <w:sz w:val="24"/>
          <w:szCs w:val="24"/>
          <w:highlight w:val="none"/>
          <w:lang w:eastAsia="zh"/>
        </w:rPr>
        <w:t xml:space="preserve">产</w:t>
      </w:r>
      <w:r>
        <w:rPr>
          <w:rFonts w:hint="eastAsia" w:ascii="宋体" w:hAnsi="宋体"/>
          <w:sz w:val="24"/>
          <w:szCs w:val="24"/>
          <w:highlight w:val="none"/>
        </w:rPr>
        <w:t xml:space="preserve">实训系统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基于企业中真实生产项目为核心创建的实训系统，系统可以代领学生进行项目工作任务的实训，对参与项目的人员进行分工，提供一套完整的项目研发流程，从需求调研、到设计访问、项目实施与项目检测、评分等各个环节的在线互动系统，将项目的运作实施过程与对学生的评价数字化，并且可进行追溯还原，同时也是作为学生个人建立与技能评价体系的重要依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系统须包含功能模块：生产实训系统、实训管理、项目开展与评价、项目成果与技能汇总等主要业务模块：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生产实训系统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用户可以查看生产实训项目内容要求，支持图文、在线文档、目标效果图等。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可根据项目的任务分工，查看属于本组中自己的项目任务安排信息，控制项目的开展与过程性进度。</w:t>
      </w:r>
      <w:r/>
    </w:p>
    <w:p>
      <w:pPr>
        <w:ind w:firstLine="482"/>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3</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可以在生产实训页面中提交项目日志，项目日志会按照项目进展的时间线进行标记并显示。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用户可以将生产实训后的成果上传到系统中。并提供文件的下载与支持文件的预览功能。</w:t>
      </w:r>
      <w:r/>
    </w:p>
    <w:p>
      <w:pPr>
        <w:ind w:firstLine="480"/>
        <w:spacing w:line="300" w:lineRule="auto"/>
        <w:rPr>
          <w:rFonts w:hint="eastAsia" w:ascii="宋体" w:hAnsi="宋体"/>
          <w:sz w:val="24"/>
          <w:szCs w:val="24"/>
          <w:highlight w:val="none"/>
          <w:lang w:eastAsia="zh"/>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平台支持在线实训，学生可以查看需求分析、方案设计、下载方案设计中的相关资源和文档、浏览参考图等，并根据任务安排中分配的任务进行查看和完成，如果是在线代码项目，可以在线代码编写和运行即时查看效果，并能够进行重置代码和提交，如果存在问题可以在线编写测试记录提出Bug，编写相关项目日志；如果是本地制作，可在线提交成果文件等操作。</w:t>
      </w:r>
      <w:r>
        <w:rPr>
          <w:rFonts w:hint="eastAsia" w:ascii="宋体" w:hAnsi="宋体"/>
          <w:sz w:val="24"/>
          <w:szCs w:val="24"/>
          <w:highlight w:val="none"/>
          <w:lang w:bidi="ar"/>
        </w:rPr>
        <w:t xml:space="preserve">教师可对学生完成的任务和成果进行评价、在线查看项目和查看成果，对小组进行打分，技能评价等。</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实训管理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可以班级查询班级人员信息以及班级项目分组信息。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可以新增项目分组，并且可以对项目组成员进行管理维护。</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定义生产实训图文内容，文档上传，目标效果等内容。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定义生产实训系统的项目任务，项目任务关联评价项。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可以针对项目组分配已经创建的生产实训项目，并且可以进行组员具体的任务分配。</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可以查看项目任务的完成情况，对提交的任务进行验收操作。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可以对任务完成情况进行打分评价，技术栈掌握情况的评价。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
        </w:rPr>
        <w:t xml:space="preserve">）</w:t>
      </w:r>
      <w:r>
        <w:rPr>
          <w:rFonts w:hint="eastAsia" w:ascii="宋体" w:hAnsi="宋体"/>
          <w:sz w:val="24"/>
          <w:szCs w:val="24"/>
          <w:highlight w:val="none"/>
        </w:rPr>
        <w:t xml:space="preserve">支持移动端考核评价功能，扫码项目研发页面中的二维码，进行考核相关项目的评价</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项目工作技能汇总</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生产实训项目中的任务可以与技能鉴定系统中的应用场景等信息关联，作为项目评审中的技能标准使用。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根据任务评价标准打分后的数据会汇总到学生的岗位技能分析数据中进行汇总。</w:t>
      </w:r>
      <w:r/>
    </w:p>
    <w:p>
      <w:pPr>
        <w:ind w:firstLine="480"/>
        <w:spacing w:line="300" w:lineRule="auto"/>
        <w:rPr>
          <w:rFonts w:hint="eastAsia" w:ascii="宋体" w:hAnsi="宋体"/>
          <w:b/>
          <w:bCs/>
          <w:color w:val="ff0000"/>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岗位技能数据可以在个人简历或人才档案中进行呈现，</w:t>
      </w:r>
      <w:r>
        <w:rPr>
          <w:rFonts w:hint="eastAsia" w:ascii="宋体" w:hAnsi="宋体"/>
          <w:sz w:val="24"/>
          <w:szCs w:val="24"/>
          <w:highlight w:val="none"/>
          <w:lang w:eastAsia="zh"/>
        </w:rPr>
        <w:t xml:space="preserve">通过雷达图的形式展示课程学习评价信息，点击课程后，呈现出课程中涵盖的知识图谱信息及评价信息，每个评价信息能够提供相关能力的变化趋势及相关答题回溯信息；提供项目评价功能，根据岗位进行项目的筛选，每个项目可以根据相关包含的典型工作任务指标呈现出评价结果，评价分</w:t>
      </w:r>
      <w:r>
        <w:rPr>
          <w:rFonts w:hint="eastAsia" w:ascii="宋体" w:hAnsi="宋体"/>
          <w:sz w:val="24"/>
          <w:szCs w:val="24"/>
          <w:highlight w:val="none"/>
          <w:lang w:eastAsia="zh"/>
        </w:rPr>
        <w:t xml:space="preserve">为优秀、一般、不合格评价指标信息；提供工作技能明细查看功能，系统根据岗位、典型工作任务、典型工作环节、典型技能要求的层级展示评价结果信息，点击技能要求项目，可以回溯相关的考核项目评价结果，每个评价结果都可以直接查看学生完成的项目源码，并且可以直接查看运行源码的运行效果；提供项目评价明细功能，可以根据典型工作任务、典型工作环节进行能力的汇总并进行图表呈现，同时该系统提供项目经历功能，可以查看到学生完成的全部实训功能，并可以查看每个项目的工作任务条目的评价信息、技术栈评价信息，相关的典型工作任务的评价信息明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可以回溯已完成的生产实训项目的任务完成细节，评分结果等信息。</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（五）大数据云计算仿真系统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大数据云计算仿真系统结合虚拟化技术，能够提供一种基于WEB网页访问的虚拟环境，通过虚拟化技术将物理资源划分为多个虚拟实例，并创建虚拟环境和虚拟对象进行仿真学习。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通过服务器虚拟化和虚拟机技术，平台可以同时运行多个虚拟仿真环境。用户可以通过该平台创建和管理多个虚拟机实例，每个实例都可以独立运行操作系统和应用程序，模拟不同的环境和场景。用户可以在同一平台上进行多个虚拟实验。</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环境支持：虚拟化技术（KVM，LinuX Containers），虚拟化网络技术。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大数据云计算仿真系统须包含功能模块，系统管理、虚拟机管理、 实验管理、学习模块等主要业务模块。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系统管理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模块包括系统权限管理、角色管理和用户角色管理、用于管理系统中各个角色的权限和用户角色关系。</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维护虚拟机集群节点、在环境中创建集群节点。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仿真平台中绑定集群节点，设置集群节点当前虚拟机数量以及最高虚拟机数量。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用户使用平台学习时，会通过镜像仓库同步虚拟环境自动分配到集群节点下。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管理员可以查看虚拟机使用情况，资源占用情况。可以进行虚拟环境挂起、关闭等操作。</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虚拟机模板管理</w:t>
      </w:r>
      <w:r/>
    </w:p>
    <w:p>
      <w:pPr>
        <w:ind w:firstLine="482"/>
        <w:spacing w:line="300" w:lineRule="auto"/>
        <w:rPr>
          <w:rFonts w:hint="eastAsia" w:ascii="宋体" w:hAnsi="宋体"/>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
        </w:rPr>
        <w:t xml:space="preserve">）</w:t>
      </w:r>
      <w:r>
        <w:rPr>
          <w:rFonts w:hint="eastAsia" w:ascii="宋体" w:hAnsi="宋体"/>
          <w:b/>
          <w:bCs/>
          <w:sz w:val="24"/>
          <w:szCs w:val="24"/>
          <w:highlight w:val="none"/>
        </w:rPr>
        <w:t xml:space="preserve">集群节点下创建虚拟机模板，设置CPU、内存、储存空间等性能参数。</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模板支持虚拟机类型分别：虚拟机、容器、Jupyter。</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可以定义虚拟机的基本信息，填写虚拟机配置信息等内容。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实验管理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可以管理实验分类，创建并组织实验项目，将实验项目归类到对应的分类下。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维护实验信息，配置所需的实验虚拟机模板。</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一个实验可以配置多个虚拟机模板。</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可以设置当前绑定的是模板虚拟机还是沿用某个实验下的虚拟机模板，可以实现实验的连续性，即在一个实验完成之后，可以直接基于已有的虚拟机模板继续进行下一个实验。</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网络拓扑管理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可以设置网络拓扑，可以清晰地展现出当前设备所处的拓扑环境。</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包括各种网络设备（如虚拟机、交换机、路由器）之间的连接关系和网络结构。</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学习模块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在学习模块中，用户可以进入实验学习，实验左侧展示当前富文本信息，右侧展示了当前所有虚拟机以及网络拓扑结构。</w:t>
      </w:r>
      <w:r/>
    </w:p>
    <w:p>
      <w:pPr>
        <w:ind w:firstLine="480"/>
        <w:spacing w:line="300" w:lineRule="auto"/>
        <w:rPr>
          <w:rFonts w:hint="eastAsia" w:ascii="宋体" w:hAnsi="宋体"/>
          <w:b/>
          <w:bCs/>
          <w:color w:val="ff0000"/>
          <w:sz w:val="24"/>
          <w:szCs w:val="24"/>
          <w:highlight w:val="none"/>
          <w:lang w:eastAsia="zh"/>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用户可以在线操作使用虚拟机，可以在线进行大数据项目研发，并且可以设置虚拟机状态，如开机、关机、重置虚拟机等功能。</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实验时可以配置多个虚拟机，以供用户同时学习。平台会在指定时间内保留用户实验虚拟机的物理环境，用户可以在指定时间内反复学习，不会出现离开当前实验环境而立即销毁虚拟机的情况。</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平台会对长时间停用或未使用的虚拟机进行回收处理。</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（六）数据统计与可视化系统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系统主要起到对学生学习数据、教学数据、平台运行数据的多方面搜集、汇总、展示的功能。系统可以根据业务情况定义数据的呈现与现实规则，在系统运行的不同时期提供相应的数据参考与改进的依据。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智能数据中台须包含功能模块：数据定义、数据采集、数据汇总规则配置、二次开发数据接口、数据展示规则配置、统计数据汇总查询、数据导出、数据加工与分析等主要业务模块：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数据定义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能够灵活定义需要采集的系统数据信息，包括：数据结构、数据的来源信息、数据的格式、数据的描述等。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在数据模型中可以定义数据的存储类型，字段类型等，包括：数字、文本、时间等内容。并可以根据所需要查询的内容进行优化，提高数据检索的效率。</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数据采集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定义数据的采集接口数据，指定接口的类型、标示等内容。</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管理数据采集接口的开通权限，其他系统可以集成数据采集，并根据定义的数据结构将信息传递给数据中心进行纪录。</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数据汇总规则配置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能够将采集的数据进行二次加工汇总，定义数据的汇总规则，包括：汇总数据的来源，数据查询汇总规则，数据的自动汇总时间等信息。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系统会自动按照配置的规则创建二级缓存数据并进行数据的汇总加工。</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二次开发数据接口</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支持其他系统进行统计系统的接入数据接入功能，通过数据的二次开放完成学习平台中教学、测试、考核与项目相关的数据分析功能。支持数据接口调用的开放，提供API接入使用规范以及帮助案例信息。</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数据展示规则配置</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系统可以对数据汇总进行个性哈数据汇总配置。配置数据显示规则。</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能够配置数据快捷查看方式，配置数据查询时的多种过滤条件。并且可以配置数据显示的图表类型。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数据显示以列表形式呈现，包括数据类型、描述列表的上方有基本的数据曲线走势图表信息。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可以自定义数据查询时间段范围、设置x轴数据规则、y轴数据规则。</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查询数据支持多种数据可视化展示，包括：折线图、柱状图、饼状图等形式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可以持久化数据展示规则配置，同时能够进行规则配置的复制迁移。</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统计数据汇总查询</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系统默认展示数据采集中配置的数据模型信息，以及收到的数据信息，数据信息以基本列表形式呈现，支持数据字段的筛选功能。并以图表方式展示数据的基本汇总信息，呈现数据的变化趋势。</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能够通过配置的汇总规则，将定时汇总数据按照汇总规则条件进行展示，通过列表、统计图表等方式进行展示。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可以将数据查询信息设置为默认显示项，当打开系统时默认进行汇总显示，起到数据便捷查询的作用。</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7、</w:t>
      </w:r>
      <w:r>
        <w:rPr>
          <w:rFonts w:hint="eastAsia" w:ascii="宋体" w:hAnsi="宋体"/>
          <w:sz w:val="24"/>
          <w:szCs w:val="24"/>
          <w:highlight w:val="none"/>
        </w:rPr>
        <w:t xml:space="preserve">数据导出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1、系统能够将查询出的汇总结果，以数据列表的形式通过excel导出。</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8、</w:t>
      </w:r>
      <w:r>
        <w:rPr>
          <w:rFonts w:hint="eastAsia" w:ascii="宋体" w:hAnsi="宋体"/>
          <w:sz w:val="24"/>
          <w:szCs w:val="24"/>
          <w:highlight w:val="none"/>
        </w:rPr>
        <w:t xml:space="preserve">数据加工与分析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1、能够针对采集的数据、通过不同的数据加工规则分析数据，进行数据的数据清洗操作，将不符合的数据进行过滤计算。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2、以上数据加工操作过程能够通过可灵活操作的工具进行配置、运行来完成。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3、能够配置数据的的标准法制信息，当数据变化达到预期设定值范围时，系统将通过站内信方式发送预设的消息。</w:t>
      </w:r>
      <w:r/>
    </w:p>
    <w:p>
      <w:pPr>
        <w:pStyle w:val="969"/>
        <w:ind w:firstLine="0"/>
        <w:spacing w:line="300" w:lineRule="auto"/>
        <w:rPr>
          <w:rFonts w:hint="eastAsia" w:hAnsi="宋体" w:eastAsia="宋体"/>
          <w:sz w:val="24"/>
          <w:szCs w:val="24"/>
          <w:highlight w:val="none"/>
        </w:rPr>
      </w:pPr>
      <w:r>
        <w:rPr>
          <w:rFonts w:hint="eastAsia" w:hAnsi="宋体" w:eastAsia="宋体"/>
          <w:sz w:val="24"/>
          <w:szCs w:val="24"/>
          <w:highlight w:val="none"/>
          <w:lang w:eastAsia="zh"/>
        </w:rPr>
        <w:t xml:space="preserve">9、</w:t>
      </w:r>
      <w:r>
        <w:rPr>
          <w:rFonts w:hint="eastAsia" w:hAnsi="宋体" w:eastAsia="宋体"/>
          <w:sz w:val="24"/>
          <w:szCs w:val="24"/>
          <w:highlight w:val="none"/>
        </w:rPr>
        <w:t xml:space="preserve">数据库安全防御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部署方式：实现基于ISO的一键部署；</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数据库客户端：整个系统需集成基于WEB的数据库客户端系统；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数据库优化：安全防御系统需要能够提供一键SQL优化的能力；</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防御技术：需基于SQL语法解析的技术实现，防止数据通过诸如别名、匿名块、动态SQL、同义词等方式绕过安全策略；</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审计维度：能够审计操作者、使用的终端、操作时间、操作内容等多维度信息，并可进一步与数据库自身的审计日志进行关联；</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动态脱敏：基于运维人员身份的SQL语句态脱敏实现基于应用程序IP地址以及数据库帐号的动态脱敏、实现无代理方式动态脱敏、纯软件方式部署、无存储容量限制、无数据库数量限制；</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用户安全控制：可基于IP地址、使用时段、SQL执行时长、导出权限等对用户进行安全防范；</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
        </w:rPr>
        <w:t xml:space="preserve">）</w:t>
      </w:r>
      <w:r>
        <w:rPr>
          <w:rFonts w:hint="eastAsia" w:ascii="宋体" w:hAnsi="宋体"/>
          <w:sz w:val="24"/>
          <w:szCs w:val="24"/>
          <w:highlight w:val="none"/>
        </w:rPr>
        <w:t xml:space="preserve">截屏防范：避免通过截屏方式对数据进行非授权的复制。可通过水印内容，追溯到截屏人员、执行时间、SQL内容、执行IP地址等信息；</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（七）技能竞赛系统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竞赛系统是一个功能全面的平台，支持多种类型的线上竞赛，包括单选、多选、判断、本地实操文件上传以及线上实操在线</w:t>
      </w:r>
      <w:r>
        <w:rPr>
          <w:rFonts w:hint="eastAsia" w:ascii="宋体" w:hAnsi="宋体"/>
          <w:sz w:val="24"/>
          <w:szCs w:val="24"/>
          <w:highlight w:val="none"/>
        </w:rPr>
        <w:t xml:space="preserve">编辑代码运行效果等多种类型题目，这样可以满足不同的比赛需求。此外，该系统还可以设定比赛时间，一旦到达指定时间，系统便会自动开始和结束比赛，简化了比赛组织的流程。在理论题方面，系统会自动评分，而在实操题方面，裁判则可以通过系统提供的评分功能打分。总之，该竞赛系统通过丰富的功能和考虑周全的配置，可以让比赛更加公正、规范和有序。除此之外，竞赛系统还拥有遴选活动模式，可以评价学生的系统适岗能力等，并帮助形成学生的综合画像。通过竞赛系统，学生能够获得更全面、客观的评价，而教师和组织者也能够更方便地管理和评估竞赛活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竞赛系统包含的功能模块：题库管理、试卷管理、竞赛管理、遴选活动管理、竞赛考核、自主报名、遴选活动考核、IDE代码编辑运行、在线评审、成绩公示等主要业务模块。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题库管理：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创建试题：在系统中创建多种类型的试题，包括理论、实操和文档编辑类型。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试题类型：理论题包含单选、多选、判断类型，实操题包含项目实操和文档编辑类型。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模板导入：理论试题支持模板导入功能提高试题创建的效率和准确性。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实操题：实操题可以上传设计文档、参考图和对任务进行分解。</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文档编辑：文档编辑支持上传原先word文档和结果word文档，支持任务分解：文字加粗、文字大小、文字颜色、字体等检测任务。</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竞赛内容管理：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创建试卷：将试题组成试卷，在系统中创建试卷。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维护试卷模块：在系统中对试卷模块进行维护，包括添加、编辑、删除试卷模块。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试卷模块试题：在试卷模块内添加试题，修改试题和删除试题等操作。</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竞赛管理：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查看比赛列表：可以查看到所有的比赛列表，包括比赛的状态以及各种比赛信息。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设置竞赛信息：考试管理人员可以根据需求设置竞赛的相关信息，包括竞赛的开始和结束时间，以确保比赛在规定的时间范围内进行。</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设置竞赛模块数量：根据需要，可以设置竞赛的模块数量，以满足比赛的要求。</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添加考生：将考生添加到对应的考试中，确保考生参加正确的竞赛。</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设置评委人员：支持设置考试的评委人员，以负责对学生答题情况进行评分和评价。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抽题功能：在设置好比赛试卷后，可以从设定好的多套试卷中随机抽取试题，保证考题的随机性和公平性。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成绩详情查看：比赛结束后，可以在成绩详情中查看学生的答题情况，了解每个学生的得分和表现。</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
        </w:rPr>
        <w:t xml:space="preserve">）</w:t>
      </w:r>
      <w:r>
        <w:rPr>
          <w:rFonts w:hint="eastAsia" w:ascii="宋体" w:hAnsi="宋体"/>
          <w:sz w:val="24"/>
          <w:szCs w:val="24"/>
          <w:highlight w:val="none"/>
        </w:rPr>
        <w:t xml:space="preserve">管理员可以查看实时竞赛过程数据，学生的成果完成情况，上传的文件等内容。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遴选活动管理：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查看比赛列表：可以查看到所有的比赛列表，包括比赛的状态以及各种比赛信息。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设置竞赛信息：考试管理人员可以根据需求设置竞赛的相关信息，包括竞赛的开始和结束时间，以确保比赛在规定的时间范围内进行。</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设置竞赛模块数量：根据需要，可以设置竞赛的模块数量，以满足比赛的要求。</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添加考生：将考生添加到对应的考试中，确保考生参加正确的竞赛。</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设置评委人员：支持设置考试的评委人员，以负责对学生答题情况进行评分和评价。</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抽题功能：在设置好比赛试卷后，可以从设定好的多套试卷中随机抽取试题，保证考题的随机性和公平性。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
        </w:rPr>
        <w:t xml:space="preserve">）</w:t>
      </w:r>
      <w:r>
        <w:rPr>
          <w:rFonts w:hint="eastAsia" w:ascii="宋体" w:hAnsi="宋体"/>
          <w:sz w:val="24"/>
          <w:szCs w:val="24"/>
          <w:highlight w:val="none"/>
        </w:rPr>
        <w:t xml:space="preserve">成绩详情查看：比赛结束后，可以在成绩详情中查看学生的答题情况，了解每个学生的得分和表现。</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
        </w:rPr>
        <w:t xml:space="preserve">）</w:t>
      </w:r>
      <w:r>
        <w:rPr>
          <w:rFonts w:hint="eastAsia" w:ascii="宋体" w:hAnsi="宋体"/>
          <w:sz w:val="24"/>
          <w:szCs w:val="24"/>
          <w:highlight w:val="none"/>
        </w:rPr>
        <w:t xml:space="preserve">绑定适岗能力：可以给模块绑定适岗能力、代表型工作任务等，以便考试评审时对学生能力进行评价。</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竞赛考核：</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查看竞赛信息 ：考生可以查看到自己参与的竞赛列表和竞赛时间、竞赛状态等信息，以便及时准确地参加竞赛。</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答题限制：未到比赛时间学生不能进入答题，比赛结束后学生也不能进入答题，确保考试的公平性和顺利进行。</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比赛模块页：学生进入比赛后能够查看到比赛模块页，了解比赛模式、分数、比赛须知等信息，以便学生更好地参加竞赛。</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理论题: 比赛支持理论题（单选、多选、判断等）答题，并且比赛后系统自动对答题结果进行评分，准确判断学生的成绩。</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本地实操：比赛支持本地实操，学生可以查看项目概述、下载设计文档、浏览参考图等，并根据任务分解完成任务，在本地完成项目后，再将成果上传到系统进行评分。</w:t>
      </w:r>
      <w:r/>
    </w:p>
    <w:p>
      <w:pPr>
        <w:ind w:firstLine="480"/>
        <w:spacing w:line="300" w:lineRule="auto"/>
        <w:widowControl/>
        <w:rPr>
          <w:rFonts w:hint="eastAsia" w:ascii="宋体" w:hAnsi="宋体"/>
          <w:b/>
          <w:bCs/>
          <w:color w:val="ff0000"/>
          <w:sz w:val="24"/>
          <w:szCs w:val="24"/>
          <w:highlight w:val="none"/>
          <w:lang w:eastAsia="zh"/>
        </w:rPr>
      </w:pPr>
      <w:r>
        <w:rPr>
          <w:rFonts w:hint="eastAsia" w:ascii="宋体" w:hAnsi="宋体"/>
          <w:sz w:val="24"/>
          <w:szCs w:val="24"/>
          <w:highlight w:val="none"/>
        </w:rPr>
        <w:t xml:space="preserve">6</w:t>
      </w:r>
      <w:r>
        <w:rPr>
          <w:rFonts w:hint="eastAsia" w:ascii="宋体" w:hAnsi="宋体"/>
          <w:sz w:val="24"/>
          <w:szCs w:val="24"/>
          <w:highlight w:val="none"/>
          <w:lang w:eastAsia="zh"/>
        </w:rPr>
        <w:t xml:space="preserve">）</w:t>
      </w:r>
      <w:r>
        <w:rPr>
          <w:rFonts w:hint="eastAsia" w:ascii="宋体" w:hAnsi="宋体"/>
          <w:sz w:val="24"/>
          <w:szCs w:val="24"/>
          <w:highlight w:val="none"/>
        </w:rPr>
        <w:t xml:space="preserve">在线实操 ：</w:t>
      </w:r>
      <w:r>
        <w:rPr>
          <w:rFonts w:hint="eastAsia" w:ascii="宋体" w:hAnsi="宋体"/>
          <w:sz w:val="24"/>
          <w:szCs w:val="24"/>
          <w:highlight w:val="none"/>
          <w:lang w:eastAsia="zh"/>
        </w:rPr>
        <w:t xml:space="preserve">比赛支持在线实操，为</w:t>
      </w:r>
      <w:r>
        <w:rPr>
          <w:rFonts w:hint="eastAsia" w:ascii="宋体" w:hAnsi="宋体"/>
          <w:sz w:val="24"/>
          <w:szCs w:val="24"/>
          <w:highlight w:val="none"/>
          <w:lang w:eastAsia="zh"/>
        </w:rPr>
        <w:t xml:space="preserve">学生提供了全面的实战项目体验。学生可以通过平台查看项目概述，了解项目的整体架构和目标，并下载设计文档、接口文档、示例项目等资料。平台支持任务分解功能，将项目拆分为多个任务，每个任务都有明确的目标和要求，便于在评估时进行分步评价。在线开发环境（IDE）使学生可以直接在平台上编写和调试代码，查看项目目录结构，并使用系统默认提供的资源图片和文件。在线IDE支持实时预览代码的PC端或手机端效果，且支持项目重置功能，允许学生回归默认代码重新开发。项目完成后，学生可以通过平台提交最终的项目代码和成果，供评审和评分使用。</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自主报名：</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考生自主报名：考生可以根据自己的兴趣和能力，选择自己要参加的未开始的遴选活动，并在系统中进行自主报名的操作。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进入比赛：报名成功后，考生可以在比赛开始时间前进入比赛的页面进行考试。</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7、</w:t>
      </w:r>
      <w:r>
        <w:rPr>
          <w:rFonts w:hint="eastAsia" w:ascii="宋体" w:hAnsi="宋体"/>
          <w:sz w:val="24"/>
          <w:szCs w:val="24"/>
          <w:highlight w:val="none"/>
        </w:rPr>
        <w:t xml:space="preserve">在线评审：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对实操题的评审：裁判需要在比赛后对学生的实操任务进行评价打分，确保评分的公正性、准确性和及时性。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查看学生答题情况：裁判可以进入对应的比赛或遴选活动，查看学生的答题情况，了解每个学生的答题情况。</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逐项评分：裁判可以根据评分要求，对学生任务中的每一项进行逐项评分，以确保评分的全面性和准确性。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适岗能力的评分：对于遴选活动，裁判长需要不仅对考生答题情况进行评分，还需要对考试模块绑定的适岗能力等进行评分，以评估学生的综合素质和能力。</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8、</w:t>
      </w:r>
      <w:r>
        <w:rPr>
          <w:rFonts w:hint="eastAsia" w:ascii="宋体" w:hAnsi="宋体"/>
          <w:sz w:val="24"/>
          <w:szCs w:val="24"/>
          <w:highlight w:val="none"/>
        </w:rPr>
        <w:t xml:space="preserve">成绩公示：</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设定公示：比赛结束后，比赛管理人员可以设定是否进行成绩公示，以决定是否向参赛学生展示成绩信息。</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分数排名展示：在公示中，会展示所有参赛学生的分数排名情况，方便学生了解自己在比赛中的表现和与他人的比较。</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裁判打分展示：在公示中，会展示裁判对学生答题情况的评分情况，包括每项任务的评分结果，确保评分的透明度和可追溯性。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遴选活动公示：对于遴选活动，如果设定比赛后进行公示，学生可以查看到自己的总分、模块分数和适岗能力评价等情况，以了解自己的考核结果和综合能力评估。</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（八）大数据电商机器人系统</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系统提供了一套完整的大数据生成资源的平台环境，可以组织学生进行大数据生成所需配置的数字客户类型、数字客户、基础属性、动作类型、动作定义、流程编排、规则编排、任务调度、任务监控、商品管理、商品类目管理以及最终数据生成后的报表数据展示及下载。同时支持大数据实训，作为大数据分析资源平台使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数字化人才培养系统须包含功能模块：数字客户管理、客户类型管理、基础属性配置、动作类型管理、动作定义、流程编排、规则编排、任务调度、任务监控、报表、商品管理、商品类目管理主要业务模块：</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数字客户管理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创建数字客户，通过数字客户管理界面批量进行数字客户的查看、编辑、删除等操作。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对数字客户的基础信息进行管理和维护。</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客户类型管理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创建客户类型，对客户类型进行查看、编辑、删除等操作。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支持批量定义数字客户的画像，并支持利用RFM模型对定义的数字客户进行基于客户价值的分类。</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动作类型管理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创建动作类型，对动作类型进行查看、编辑、删除等操作。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可将浏览、搜索、加购、下单等常见的用户操作进行分类，并设置相应的参数。</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动作定义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创建动作，对动作进行查看、编辑、删除等操作。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其中浏览商品：可以设置商品类目、关键词、浏览深度、停留时间等参数；搜索商品：可以设置搜索词、搜索结果展示方式、筛选条件等参数；加购物车：可以设置商品数量、操作频次、加购时间等参数；下单：可以设置商品数量、下单频次、下单时段等参数。</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商品管理</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创建商品，对商品进行查看、编辑、删除等操作。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商品可设置特殊数据属性值，如浏览概率、浏览时长、下单概率和价格等。</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流程编排</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通过页面拖拉拽的方式，将各种动作组合成数字客户动作链。</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数字客户动作链是一系列动作的有序组合，代表了数字客户在商城中实际的操作流程，操作流程可以嵌套和组合，形成多层嵌套的操作链。</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动作可编辑设置属性值。</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流程可选择定时发布或是立即发布，发布成功后用户可在规则中使用该流程。</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7、</w:t>
      </w:r>
      <w:r>
        <w:rPr>
          <w:rFonts w:hint="eastAsia" w:ascii="宋体" w:hAnsi="宋体"/>
          <w:sz w:val="24"/>
          <w:szCs w:val="24"/>
          <w:highlight w:val="none"/>
        </w:rPr>
        <w:t xml:space="preserve">规则编排</w:t>
      </w:r>
      <w:r/>
    </w:p>
    <w:p>
      <w:pPr>
        <w:ind w:firstLine="480"/>
        <w:spacing w:line="300" w:lineRule="auto"/>
        <w:rPr>
          <w:rFonts w:hint="eastAsia" w:ascii="宋体" w:hAnsi="宋体"/>
          <w:b/>
          <w:bCs/>
          <w:color w:val="ff0000"/>
          <w:sz w:val="24"/>
          <w:szCs w:val="24"/>
          <w:highlight w:val="none"/>
          <w:lang w:eastAsia="zh"/>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通过可视化的方式将不同的动作进行拖拽到舞台中，以拖拽划线的方式进行连接，并可设置商品类目、关键词、浏览深度和停留时间等字段，实现不同动作之间的联动和自动化控制，流程编辑完成后可在规则编排中编辑可视化的流程图界面，可以将各个动作和流程进行拖拽和划线进行连接，形成完整的规则图，用于任务的数据生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可视化流程图：规则编排提供可视化的流程图界面，可以将各个模块和事件进行连接，形成完整的流程图，并通过拖拽等交互方式进行编辑和调整。</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触发条件：用户可以通过规则编排对指定事件或条件进行触发，包括：定时触发、触发指定数据提交等等。维护人员也可以自定义触发条件，满足特定业务场景的规则编排需求。</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
        </w:rPr>
        <w:t xml:space="preserve">）</w:t>
      </w:r>
      <w:r>
        <w:rPr>
          <w:rFonts w:hint="eastAsia" w:ascii="宋体" w:hAnsi="宋体"/>
          <w:sz w:val="24"/>
          <w:szCs w:val="24"/>
          <w:highlight w:val="none"/>
        </w:rPr>
        <w:t xml:space="preserve">配置参数：规则编排提供参数配置功能，用户对规则编排的各个参数进行设定，包括：触发事件间隔、任务重试次数、以及执行优先级等等。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
        </w:rPr>
        <w:t xml:space="preserve">）</w:t>
      </w:r>
      <w:r>
        <w:rPr>
          <w:rFonts w:hint="eastAsia" w:ascii="宋体" w:hAnsi="宋体"/>
          <w:sz w:val="24"/>
          <w:szCs w:val="24"/>
          <w:highlight w:val="none"/>
        </w:rPr>
        <w:t xml:space="preserve">规则管理和调整：规则编排提供管理和调整功能，维护人员可以对已经配置的规则进行查看、修改，删除，增加和禁用等操作。</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8、</w:t>
      </w:r>
      <w:r>
        <w:rPr>
          <w:rFonts w:hint="eastAsia" w:ascii="宋体" w:hAnsi="宋体"/>
          <w:sz w:val="24"/>
          <w:szCs w:val="24"/>
          <w:highlight w:val="none"/>
        </w:rPr>
        <w:t xml:space="preserve">任务调度</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调度管理用户可以对任务进行创建和发布。</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任务可配置主规则、特殊规则，主规则可以选择要执行的规则，并设置数据生成的开始时间和结束时间；特殊规则可配置特殊时间段进行额外数据的生成。</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每个规则可配置各个时间段的具体数据概率，触发概率、客户数量、客户类型和新用户概率等属性值。</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9、</w:t>
      </w:r>
      <w:r>
        <w:rPr>
          <w:rFonts w:hint="eastAsia" w:ascii="宋体" w:hAnsi="宋体"/>
          <w:sz w:val="24"/>
          <w:szCs w:val="24"/>
          <w:highlight w:val="none"/>
        </w:rPr>
        <w:t xml:space="preserve">任务监控</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任务调度：调度管理对预定和配置好的任务进行调度，进行时间上的控制、是否立即开始等操作。</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可查看任务详情，任务过程中的具体数据。</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10、</w:t>
      </w:r>
      <w:r>
        <w:rPr>
          <w:rFonts w:hint="eastAsia" w:ascii="宋体" w:hAnsi="宋体"/>
          <w:sz w:val="24"/>
          <w:szCs w:val="24"/>
          <w:highlight w:val="none"/>
        </w:rPr>
        <w:t xml:space="preserve">报表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用户查看不同任务的访问数、转化率、销售额、访客留存率、订单转化率、访客停留时间、流量来源分析等信息呈现为具体的图表形式。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用户可选择时间范围内的数据进行查看。</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
        </w:rPr>
        <w:t xml:space="preserve">）</w:t>
      </w:r>
      <w:r>
        <w:rPr>
          <w:rFonts w:hint="eastAsia" w:ascii="宋体" w:hAnsi="宋体"/>
          <w:sz w:val="24"/>
          <w:szCs w:val="24"/>
          <w:highlight w:val="none"/>
        </w:rPr>
        <w:t xml:space="preserve">用户可以下载报表，将数据生成相关数据下载到本地进行数据统计等相关操作。</w:t>
      </w:r>
      <w:r/>
    </w:p>
    <w:p>
      <w:pPr>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大数据仿真资源包</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课程资源1-Javascript程序基础</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教学资源包课程内容包括50个课程章节，主要以图文、视频、体验插件、练习、机判测验等教学方式提供课程的学习。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教学知识点：编程思想、Javascript基础语法、程序逻辑算法、Debug程序调试、H5画布应用开发。</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课程中图文教学资源不少于50个、教学讲解及练习讲解视频资源不少于97个、章节相关知识点练习题教学资源不少于48个、机判测试试题不少于300个、体验式教学插件资源不少于27个。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课程资源2-Web前端网页开发</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教学资源包课程内容包括24个课程章节，主要以图文、视频、体验插件、练习、机判测验等教学方式提供课程的学习。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教学知识点：Html5-Css3网页制作、网页控制及Dom页面操作、Css3网页动画、Ajax网络通讯、Json数据格式。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课程中图文教学资源不少于24个、教学讲解及练习讲解视频资源不少于94个、章节相关知识点练习题教学资源不少于27个、机判测试试题不少于150个、体验式教学插件资源不少于24个。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课程资源3-jQuery精品课</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教学资源包课程内容包括13个课程章节，主要以图文、视频、体验插件、练习、机判测验等教学方式提供课程的学习。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教学知识点：Jquery事件处理、网页标签属性操控、ajax通讯、常用Jquery插件。</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课程中图文教学资源不少于13个、教学讲解及练习讲解视频资源不少于20个、章节相关知识点练习题教学资源不少于42个、机判测试试题不少于30个、体验式教学插件资源不少于15个。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课程资源4-PHP-MySQL</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教学资源包课程内容包括15个课程章节，主要以图文、视频、体验插件、练习、机判测验等教学方式提供课程的学习。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教学知识点：PHP基础语法、表单通讯、数据持久化、Mysql数据库操作、Mysql数据库设计。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课程中图文教学资源不少于15个、教学讲解及练习讲解视频资源不少于20个、章节相关知识点练习题教学资源不少于42个、机判测试试题不少于150个、体验式教学插件资源不少于15个。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课程资源5-linux系统基础</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教学资源包课程内容包括20个课程章节，主要以图文、视频、练习、机判测验等教学方式提供课程的学习。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教学知识点：linux操作入门、linux基础配置、系统基本操作、文件系统、定时任务。</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课程中图文教学资源不少于20个、教学讲解及练习讲解视频资源不少于10个、章节相关知识点练习题教学资源与机判测验不少于100个。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6、</w:t>
      </w:r>
      <w:r>
        <w:rPr>
          <w:rFonts w:hint="eastAsia" w:ascii="宋体" w:hAnsi="宋体"/>
          <w:sz w:val="24"/>
          <w:szCs w:val="24"/>
          <w:highlight w:val="none"/>
        </w:rPr>
        <w:t xml:space="preserve">课程资源6-Python进阶</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教学资源包课程内容包括20个课程章节，主要以图文、视频、练习、机判测验、虚拟仿真等教学方式提供课程的学习。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教学知识点：Python面向对象、Web服务应用、网络数据排除、数据分析与标准化、数据可视化、Web框架整合等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课程中图文教学资源不少于20个、教学讲解及练习讲解视频资源不少于20个、章节相关知识点练习题教学资源与机判测验不少于50个。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7、</w:t>
      </w:r>
      <w:r>
        <w:rPr>
          <w:rFonts w:hint="eastAsia" w:ascii="宋体" w:hAnsi="宋体"/>
          <w:sz w:val="24"/>
          <w:szCs w:val="24"/>
          <w:highlight w:val="none"/>
        </w:rPr>
        <w:t xml:space="preserve">课程资源7-分布式Hadoop应用</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教学资源包课程内容包括20个课程章节，主要以图文、视频、练习、机判测验、虚拟仿真等教学方式提供课程的学习。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教学知识点：Hadoop环境部署、分布式文件系统操作、MapReduce、Hive、HBase、Kafka、ZooKeeper环境安装配置与基本使用等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课程中图文教学资源不少于20个、教学讲解及练习讲解视频资源不少于20个、章节相关知识点练习题教学资源与机判测验不少于100个。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8、</w:t>
      </w:r>
      <w:r>
        <w:rPr>
          <w:rFonts w:hint="eastAsia" w:ascii="宋体" w:hAnsi="宋体"/>
          <w:sz w:val="24"/>
          <w:szCs w:val="24"/>
          <w:highlight w:val="none"/>
        </w:rPr>
        <w:t xml:space="preserve">课程资源8-Spark技术与应用</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教学资源包课程内容包括20个课程章节，主要以图文、视频、练习、机判测验、虚拟仿真等教学方式提供课程的学习。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教学知识点：Spark环境集成、集群搭建、核心编程、Sql结构化处理、数据实时计算、ML机器学习、数据可视化等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课程中图文教学资源不少于20个、教学讲解及练习讲解视频资源不少于20个、章节相关知识点练习题教学资源与机判测验不少于100个。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9、</w:t>
      </w:r>
      <w:r>
        <w:rPr>
          <w:rFonts w:hint="eastAsia" w:ascii="宋体" w:hAnsi="宋体"/>
          <w:sz w:val="24"/>
          <w:szCs w:val="24"/>
          <w:highlight w:val="none"/>
        </w:rPr>
        <w:t xml:space="preserve">课程资源9-大数据采集技术</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教学资源包课程内容包括15个课程章节，主要以图文、视频、练习、机判测验、虚拟仿真等教学方式提供课程的学习。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教学知识点：Web网页分析、网络数据获取、Beautifl Soup使用、Scrapy使用、Selenium应用、性能优化与文件存储等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课程中图文教学资源不少于15个、教学讲解及练习讲解视频资源不少于15个、章节相关知识点练习题教学资源与机判测验不少于70个。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10、</w:t>
      </w:r>
      <w:r>
        <w:rPr>
          <w:rFonts w:hint="eastAsia" w:ascii="宋体" w:hAnsi="宋体"/>
          <w:sz w:val="24"/>
          <w:szCs w:val="24"/>
          <w:highlight w:val="none"/>
        </w:rPr>
        <w:t xml:space="preserve">课程资源10-大数据运算与处理</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教学资源包课程内容包括15个课程章节，主要以图文、视频、练习、机判测验、虚拟仿真等教学方式提供课程的学习。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教学知识点：数据处理思想、数据建模、数据清洗、numpy数据操作、pandas框架、数据处理案例分析等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课程中图文教学资源不少于15个、教学讲解及练习讲解视频资源不少于15个、章节相关知识点练习题教学资源与机判测验不少于60个。</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11、</w:t>
      </w:r>
      <w:r>
        <w:rPr>
          <w:rFonts w:hint="eastAsia" w:ascii="宋体" w:hAnsi="宋体"/>
          <w:sz w:val="24"/>
          <w:szCs w:val="24"/>
          <w:highlight w:val="none"/>
        </w:rPr>
        <w:t xml:space="preserve">课程资源11-大数据可视化应用</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教学资源包课程内容包括12个课程章节，主要以图文、视频、练习、机判测验、虚拟仿真等教学方式提供课程的学习。</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教学知识点：常用数据图形可视化、matplitlib的可视化应用、echarts的可视化应用、效果优化与Web整合等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课程中图文教学资源不少于12个、教学讲解及练习讲解视频资源不少于12个、章节相关知识点练习题教学资源与机判测验不少于30个。</w:t>
      </w:r>
      <w:r/>
    </w:p>
    <w:p>
      <w:pPr>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大数据项目实训资源包</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1、</w:t>
      </w:r>
      <w:r>
        <w:rPr>
          <w:rFonts w:hint="eastAsia" w:ascii="宋体" w:hAnsi="宋体"/>
          <w:sz w:val="24"/>
          <w:szCs w:val="24"/>
          <w:highlight w:val="none"/>
        </w:rPr>
        <w:t xml:space="preserve">生产实训项目资源1-餐厅订单数据分析与可视化</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 项目背景：完成一个大数据餐厅订单分析统计，对餐厅订单分析通过python语言获取数据进行数据整合，用于统计最受欢迎的菜系种类，统计订单ID点菜数量Top10，统计一天当中点菜比较集中的时间段，统计一月之内每天的订餐数量，统计一周之内每天人数订餐数量。。</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 项目人员要求：1-2人，1周;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 项目配置要求：Python、PyEchart、MatLab等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4)项目模块要求：包括统计最受欢迎的菜品模块、统计订单点菜的种类Top10模块、统计一天当中点菜比较集中的时间段模块、统计一月之内每天的订餐数量模块、统计一周之内每天人数订餐数量模块等模块；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 项目任务书要求：设计典型功能模块不少于6个，需求不少于10个，任务不少于10个，测试用例不少于6个；</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 学习资源要求：1套。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 项目内容包括：项目需求分析、详细设计文档、参考图列表、项目任务分解、任务安排明细等内容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2、</w:t>
      </w:r>
      <w:r>
        <w:rPr>
          <w:rFonts w:hint="eastAsia" w:ascii="宋体" w:hAnsi="宋体"/>
          <w:sz w:val="24"/>
          <w:szCs w:val="24"/>
          <w:highlight w:val="none"/>
        </w:rPr>
        <w:t xml:space="preserve">生产实训项目资源2-电商平台用户行为分析与可视化</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 项目背景：完成一个电商平台用户行为分析需求统计，电商平台用户行为分析通过python语言获取数据进行数据整合，进行对电商平台用户各种行为统计，统计出用户活跃度，统计出双十二当天活跃度的变化，统计出不同用户行为下的活跃度变化，统计出复购情况分析，通过统计将数据提供电商平台管理员方便做出相应的营销策略。</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 项目级别要求：1-2人，1周;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 项目配置要求：Python、PyEchart、MatLab等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 项目模块要求：须包括统计用户活跃度模块、统计双十二当天活跃度的变化模块、统计不同用户行为下的活跃度变化模块、复购情况分析模块等模块；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 项目任务书要求：设计典型功能模块不少于6个，需求不少于10个，任务不少于10个，测试用例不少于6个；</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 学习资源要求：1套。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 项目内容包括：项目需求分析、详细设计文档、参考图列表、项目任务分解、任务安排明细等内容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3、</w:t>
      </w:r>
      <w:r>
        <w:rPr>
          <w:rFonts w:hint="eastAsia" w:ascii="宋体" w:hAnsi="宋体"/>
          <w:sz w:val="24"/>
          <w:szCs w:val="24"/>
          <w:highlight w:val="none"/>
        </w:rPr>
        <w:t xml:space="preserve">生产实训项目资源3-分布式文件环境搭建</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 项目背景：完成HDFS系统环境搭建与测试，大数据分布式环境中，还需要包含Hive、HBase等相关数据服务组建，并进行数据及文件的初始化创建与导入工作，实现对大数据研发环境的支持。</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 项目人员要求：1-2人，1周;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 项目配置要求：Hadoop、Hive、HBase、Linux、Zookeeper等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 项目模块要求：包括搭建Jdk环境、Hadoop环境及分布式集群部署，Hive环境搭建与元数据初始化以及数据导入维护等任务模块要求；</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 项目任务书要求：设计典型功能模块不少于5个，需求不少于10个，任务不少于5个，测试用例不少于5个；</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 学习资源要求：1套。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 项目内容包括：项目需求分析、详细设计文档、参考图列表、项目任务分解、任务安排明细等内容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4、</w:t>
      </w:r>
      <w:r>
        <w:rPr>
          <w:rFonts w:hint="eastAsia" w:ascii="宋体" w:hAnsi="宋体"/>
          <w:sz w:val="24"/>
          <w:szCs w:val="24"/>
          <w:highlight w:val="none"/>
        </w:rPr>
        <w:t xml:space="preserve">生产实训项目资源4-就业数据采集与处理</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 项目背景：针对软件行业的岗位信息，人员招聘的能力要求、学历要求、工作年限等内容进行数据采集，将数据合理进行建模与清洗处理，最终保存到数据库或文件中。</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 项目人员要求：1-3人，2周;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 项目配置要求：支持Python数据爬虫、数据持久化、数据建模、数据分析等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 项目模块要求：包括网页结构分析、针对岗位基本信息数据、岗位详细需求数据进行采集，将采集的数据进行分析建模与持久化等任务模块要求；</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 项目任务书要求：设计典型功能模块不少于5个，需求不少于10个，任务不少于5个，测试用例不少于5个；</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 学习资源要求：1套。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7) 项目内容包括：项目需求分析、详细设计文档、参考图列表、项目任务分解、任务安排明细等内容</w:t>
      </w:r>
      <w:r/>
    </w:p>
    <w:p>
      <w:pPr>
        <w:spacing w:line="300" w:lineRule="auto"/>
        <w:rPr>
          <w:rFonts w:hint="eastAsia" w:ascii="宋体" w:hAnsi="宋体"/>
          <w:sz w:val="24"/>
          <w:szCs w:val="24"/>
          <w:highlight w:val="none"/>
        </w:rPr>
      </w:pPr>
      <w:r>
        <w:rPr>
          <w:rFonts w:hint="eastAsia" w:ascii="宋体" w:hAnsi="宋体"/>
          <w:sz w:val="24"/>
          <w:szCs w:val="24"/>
          <w:highlight w:val="none"/>
          <w:lang w:eastAsia="zh"/>
        </w:rPr>
        <w:t xml:space="preserve">5、</w:t>
      </w:r>
      <w:r>
        <w:rPr>
          <w:rFonts w:hint="eastAsia" w:ascii="宋体" w:hAnsi="宋体"/>
          <w:sz w:val="24"/>
          <w:szCs w:val="24"/>
          <w:highlight w:val="none"/>
        </w:rPr>
        <w:t xml:space="preserve">生产实训项目资源5-抖音用户行为数据分析（Spark）</w:t>
      </w:r>
      <w:r>
        <w:rPr>
          <w:rFonts w:hint="eastAsia" w:ascii="宋体" w:hAnsi="宋体"/>
          <w:sz w:val="24"/>
          <w:szCs w:val="24"/>
          <w:highlight w:val="none"/>
        </w:rPr>
        <w:tab/>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1) 项目背景：完成一个抖音用户行为数据分析统计，抖音用户行为数据通过python语言通过Spark框架获取分布式环境中的数据进行数据整合，统计出作品时长跟播放量关系、分析作品时长和作品数量的关系、作品时长和播放率关系、时长和点赞率关系图、作品发布时间与点赞完播率之间的关系、发布作品时间与播放量之间的关系、24小时内用户投稿（发布作品）数量的变化、背景音乐播放量之间的关系。</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2) 项目级别要求：1-2人，1周;</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3) 项目配置要求：Hadoop、Hive、Python、Spark、可视化框架等</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4) 项目模块要求：须包括分析作品时长跟播放量关系模块、分析作品时长和作品数量的关系模块、作品时长和播放率关系模块、作品时长和点赞率关系模块、作品发布时间与点赞完播率之间的关系模块、发布作品时间与播放量之间的关系模块、24小时内用户投稿（发布作品）数量的变化模块、背景音乐与播放量之间的关系模块等模块；</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5) 项目任务书要求：设计典型功能模块不少于6个，需求不少于10个，任务不少于10个，测试用例不少于6个；</w:t>
      </w:r>
      <w:r/>
    </w:p>
    <w:p>
      <w:pPr>
        <w:ind w:firstLine="480"/>
        <w:spacing w:line="300" w:lineRule="auto"/>
        <w:rPr>
          <w:rFonts w:hint="eastAsia" w:ascii="宋体" w:hAnsi="宋体"/>
          <w:sz w:val="24"/>
          <w:szCs w:val="24"/>
          <w:highlight w:val="none"/>
        </w:rPr>
      </w:pPr>
      <w:r>
        <w:rPr>
          <w:rFonts w:hint="eastAsia" w:ascii="宋体" w:hAnsi="宋体"/>
          <w:sz w:val="24"/>
          <w:szCs w:val="24"/>
          <w:highlight w:val="none"/>
        </w:rPr>
        <w:t xml:space="preserve">6) 学习资源要求：1套。</w:t>
      </w:r>
      <w:r/>
    </w:p>
    <w:p>
      <w:pPr>
        <w:ind w:firstLine="480"/>
        <w:spacing w:line="30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7) 项目内容包括：项目需求分析、详细设计文档、参考图列表、项目任务分解、任务安排明细等内容</w:t>
      </w:r>
      <w:r>
        <w:rPr>
          <w:rFonts w:hint="eastAsia" w:ascii="宋体" w:hAnsi="宋体"/>
          <w:sz w:val="24"/>
          <w:szCs w:val="24"/>
          <w:highlight w:val="none"/>
          <w:lang w:eastAsia="zh-CN"/>
        </w:rPr>
        <w:t xml:space="preserve">；</w:t>
      </w:r>
      <w:r/>
    </w:p>
    <w:p>
      <w:pPr>
        <w:spacing w:line="300" w:lineRule="auto"/>
        <w:rPr>
          <w:rFonts w:hint="eastAsia" w:ascii="宋体" w:hAnsi="宋体"/>
          <w:b/>
          <w:bCs/>
          <w:sz w:val="24"/>
          <w:szCs w:val="24"/>
          <w:highlight w:val="none"/>
        </w:rPr>
      </w:pPr>
      <w:r>
        <w:rPr>
          <w:rFonts w:hint="eastAsia" w:ascii="宋体" w:hAnsi="宋体"/>
          <w:b/>
          <w:bCs/>
          <w:sz w:val="24"/>
          <w:szCs w:val="24"/>
          <w:highlight w:val="none"/>
        </w:rPr>
      </w:r>
      <w:r/>
    </w:p>
    <w:p>
      <w:pPr>
        <w:spacing w:line="300" w:lineRule="auto"/>
        <w:rPr>
          <w:rFonts w:hint="eastAsia" w:ascii="宋体" w:hAnsi="宋体"/>
          <w:sz w:val="24"/>
          <w:szCs w:val="24"/>
          <w:highlight w:val="none"/>
        </w:rPr>
      </w:pPr>
      <w:r>
        <w:rPr>
          <w:rFonts w:hint="eastAsia" w:ascii="宋体" w:hAnsi="宋体"/>
          <w:b/>
          <w:bCs/>
          <w:sz w:val="24"/>
          <w:szCs w:val="24"/>
          <w:highlight w:val="none"/>
        </w:rPr>
        <w:t xml:space="preserve">硬件</w:t>
      </w:r>
      <w:r/>
    </w:p>
    <w:tbl>
      <w:tblPr>
        <w:tblStyle w:val="773"/>
        <w:tblW w:w="8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7337"/>
      </w:tblGrid>
      <w:tr>
        <w:trPr/>
        <w:tc>
          <w:tcPr>
            <w:tcW w:w="1208"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大数据实训管理节点（高性能服务器）　数量：1台</w:t>
            </w:r>
            <w:r/>
          </w:p>
        </w:tc>
        <w:tc>
          <w:tcPr>
            <w:tcW w:w="7337"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外形规格：2U 机架式服务器，支持标准19英寸机柜安装；允许提供性能、可靠性不低于该规格的国产同等产品。</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品牌属性：须为中华人民共和国境内注册企业自主研发、生产并拥有自主品牌知识产权的服务器产品，不接受贴牌、OEM 的产品。</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处理器（CPU）：配置不少于2颗物理CPU，单颗CPU核心数≥16核（总计≥32核），主频≥2.6GHz，支持64位计算、硬件虚拟化及支持国家密码管理局认可的商用密码算法硬件加速能力，满足GB/T 37092-2018《信息安全技术 密码模块安全要求》相关性能指标。</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内存：提供≥16个DDR4内存插槽，预装容量≥64GB，支持ECC Registered DIMM，最大可扩展容量≥1TB。</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存储系统：配置≥4块960GB企业级SATA/SAS/NVMe SSD固态硬盘；配备RAID控制器，支持RAID 0/1/5/10，缓存≥1GB且具备断电保护功能（如超级电容或闪存备份）。</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网络接口：集成≥4个千兆以太网（1GbE）RJ45电口，支持链路聚合、PXE启动；鼓励支持万兆（10GbE）扩展能力。</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电源与冗余：配置≥2个热插拔冗余交流电源，单电源额定功率≥900W，符合80 PLUS白金或更高认证标准。</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管理功能：支持带外远程管理（IPMI 2.0 或 Redfish 协议），具备KVM over IP、虚拟介质挂载、日志导出等运维功能。</w:t>
            </w:r>
            <w:r/>
          </w:p>
        </w:tc>
      </w:tr>
      <w:tr>
        <w:trPr/>
        <w:tc>
          <w:tcPr>
            <w:tcW w:w="1208"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大数据实训计算节点（超融合大数据云计算服务器）　数量：2台</w:t>
            </w:r>
            <w:r/>
          </w:p>
        </w:tc>
        <w:tc>
          <w:tcPr>
            <w:tcW w:w="7337"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外形规格：2U 或 4U 机架式服务器，适应高密度部署需求；允许提供整体性能与可靠性不低于本配置的国产替代产品。</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品牌属性：投标人所投服务器须由在中国境内注册的企业生产或集成，具备完整的本地化技术支持团队及不少于三年的原厂维保服务能力。</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处理器（CPU）：配置不少于2颗物理CPU，</w:t>
            </w:r>
            <w:r>
              <w:rPr>
                <w:rFonts w:hint="eastAsia" w:ascii="宋体" w:hAnsi="宋体"/>
                <w:sz w:val="24"/>
                <w:szCs w:val="24"/>
                <w:highlight w:val="none"/>
                <w:lang w:val="en-US" w:eastAsia="zh-CN"/>
              </w:rPr>
              <w:t xml:space="preserve">总</w:t>
            </w:r>
            <w:r>
              <w:rPr>
                <w:rFonts w:hint="eastAsia" w:ascii="宋体" w:hAnsi="宋体"/>
                <w:sz w:val="24"/>
                <w:szCs w:val="24"/>
                <w:highlight w:val="none"/>
              </w:rPr>
              <w:t xml:space="preserve">核心数≥128核，主频≥2.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GHz，支持硬件虚拟化及大页内存技术。</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内存：提供≥16个DDR4内存插槽，预装容量≥192GB，支持ECC、内存镜像/热备，最大可扩展至≥2TB。</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存储系统：配置≥6块1.92TB企业级SSD；RAID控制器须配备≥2GB非易失性缓存（NV Cache），支持掉电数据保护，默认配置RAID 5或更高级别（如RAID 6/10）。</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网络接口：集成≥4个千兆电口，须支持≥2个万兆光口（10GbE SFP+</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含配套模块和线缆</w:t>
            </w:r>
            <w:r>
              <w:rPr>
                <w:rFonts w:hint="eastAsia" w:ascii="宋体" w:hAnsi="宋体"/>
                <w:sz w:val="24"/>
                <w:szCs w:val="24"/>
                <w:highlight w:val="none"/>
              </w:rPr>
              <w:t xml:space="preserve">），用于分离业务网络与存储网络，提升超融合平台性能。</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电源与冗余：配置≥2个热插拔冗余电源，单电源功率≥</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00W，支持80 PLUS白金及以上能效标准。</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兼容性要求：应兼容主流国产超融合软件平台（包括但不限于如ZStack、SmartX、华为FusionCube、EasyStack等），支持虚拟化资源统一调度与管理。</w:t>
            </w:r>
            <w:r/>
          </w:p>
        </w:tc>
      </w:tr>
      <w:tr>
        <w:trPr/>
        <w:tc>
          <w:tcPr>
            <w:tcW w:w="1208"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算力服务器（AI/深度学习/数据库专用）　数量：1台</w:t>
            </w:r>
            <w:r/>
          </w:p>
          <w:p>
            <w:pPr>
              <w:spacing w:line="300" w:lineRule="auto"/>
              <w:rPr>
                <w:rFonts w:hint="eastAsia" w:ascii="宋体" w:hAnsi="宋体"/>
                <w:sz w:val="24"/>
                <w:szCs w:val="24"/>
                <w:highlight w:val="none"/>
              </w:rPr>
            </w:pPr>
            <w:r>
              <w:rPr>
                <w:rFonts w:hint="eastAsia" w:ascii="宋体" w:hAnsi="宋体"/>
                <w:sz w:val="24"/>
                <w:szCs w:val="24"/>
                <w:highlight w:val="none"/>
              </w:rPr>
            </w:r>
            <w:r/>
          </w:p>
        </w:tc>
        <w:tc>
          <w:tcPr>
            <w:tcW w:w="7337" w:type="dxa"/>
            <w:vAlign w:val="center"/>
            <w:textDirection w:val="lrTb"/>
            <w:noWrap w:val="false"/>
          </w:tcPr>
          <w:p>
            <w:pPr>
              <w:spacing w:line="30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定位与用途：用于人工智能模型训练、深度学习推理、数据库加速及虚拟化等高性能计算场景。设备须为中华人民共和国境内注册企业自主研发、生产并拥有完整知识产权的国产自主品牌服务器，不接受贴牌、OEM 或无本地化服务体系的产品。</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处理器（CPU）：配置不少于2颗物理CPU，总物理核心数 ≥ 128核，基础主频 ≥ 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 GHz，CPU 须支持硬件级虚拟化技术，并支持高效 SIMD 向量指令集（包括但不限于AVX2、ARM NEON、LoongArch LASX 等），或在同等应用场景下提供可验证的等效计算性能，以满足虚拟化、大数据及人工智能负载需求。</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内存：预装容量 ≥ 128 GB DDR4 ECC Registered 内存，提供 ≥ 8 个内存插槽，最大可扩展容量 ≥ 2 TB，支持内存镜像或热备等高可用特性。</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系统盘：配置 ≥ 2 块 960 GB 企业级 SATA/SAS/NVMe SSD，组成 RAID 1 镜像，用于操作系统及关键应用部署，确保系统高可用。</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数据存储：配置≥4块960GB企业级SSD固态硬盘；配备RAID控制器，支持RAID 0/1/5/10，缓存≥1GB且具备断电保护功能（如超级电容或闪存备份）。</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GPU/加速卡要求</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配置 ≥ 2 张GPU加速卡，单卡显存容量 ≥ 24 GB，显存带宽 ≥ 600 GB/s</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叠加计算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 加速卡应具备 FP16/INT8 混合精度计算能力，在以下任一标准任务中达到如下性能水平：</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 ResNet-50 图像分类推理（batch size ≥ 64, FP16）：吞吐量 ≥ 3,000 images/sec；</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 BERT-base 自然语言处理推理（sequence length=128, FP16）：吞吐量 ≥ 1,500 sequences/sec；</w:t>
            </w:r>
            <w:r/>
          </w:p>
          <w:p>
            <w:pPr>
              <w:spacing w:line="300" w:lineRule="auto"/>
              <w:rPr>
                <w:rFonts w:hint="eastAsia" w:ascii="宋体" w:hAnsi="宋体"/>
                <w:b/>
                <w:bCs/>
                <w:sz w:val="24"/>
                <w:szCs w:val="24"/>
                <w:highlight w:val="none"/>
              </w:rPr>
            </w:pPr>
            <w:r>
              <w:rPr>
                <w:rFonts w:hint="eastAsia" w:ascii="宋体" w:hAnsi="宋体"/>
                <w:b/>
                <w:bCs/>
                <w:sz w:val="24"/>
                <w:szCs w:val="24"/>
                <w:highlight w:val="none"/>
              </w:rPr>
              <w:t xml:space="preserve"> </w:t>
            </w:r>
            <w:r>
              <w:rPr>
                <w:rFonts w:hint="eastAsia" w:ascii="宋体" w:hAnsi="宋体"/>
                <w:b/>
                <w:bCs/>
                <w:sz w:val="24"/>
                <w:szCs w:val="24"/>
                <w:highlight w:val="none"/>
                <w:lang w:val="en-US" w:eastAsia="zh-CN"/>
              </w:rPr>
              <w:t xml:space="preserve"> </w:t>
            </w:r>
            <w:r>
              <w:rPr>
                <w:rFonts w:hint="eastAsia" w:ascii="宋体" w:hAnsi="宋体"/>
                <w:b/>
                <w:bCs/>
                <w:sz w:val="24"/>
                <w:szCs w:val="24"/>
                <w:highlight w:val="none"/>
              </w:rPr>
              <w:t xml:space="preserve">投标人须提供所投加速卡的以下证明材料：</w:t>
            </w:r>
            <w:r/>
          </w:p>
          <w:p>
            <w:pPr>
              <w:spacing w:line="300" w:lineRule="auto"/>
              <w:rPr>
                <w:rFonts w:hint="eastAsia" w:ascii="宋体" w:hAnsi="宋体"/>
                <w:b/>
                <w:bCs/>
                <w:sz w:val="24"/>
                <w:szCs w:val="24"/>
                <w:highlight w:val="none"/>
                <w:u w:val="single"/>
              </w:rPr>
            </w:pPr>
            <w:r>
              <w:rPr>
                <w:rFonts w:hint="eastAsia" w:ascii="宋体" w:hAnsi="宋体"/>
                <w:sz w:val="24"/>
                <w:szCs w:val="24"/>
                <w:highlight w:val="none"/>
              </w:rPr>
              <w:t xml:space="preserve">（</w:t>
            </w:r>
            <w:r>
              <w:rPr>
                <w:rFonts w:hint="eastAsia" w:ascii="宋体" w:hAnsi="宋体"/>
                <w:b/>
                <w:bCs/>
                <w:sz w:val="24"/>
                <w:szCs w:val="24"/>
                <w:highlight w:val="none"/>
                <w:u w:val="single"/>
              </w:rPr>
              <w:t xml:space="preserve">1）在 TensorFlow 2.x 和 PyTorch 2.x 主流版本下的驱动兼容性说明；</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（2）完整的软件开发栈（如 CUDA/cuDNN、CANN、MagicMind、ROCm 等）支持清单；</w:t>
            </w:r>
            <w:r/>
          </w:p>
          <w:p>
            <w:pPr>
              <w:spacing w:line="300" w:lineRule="auto"/>
              <w:rPr>
                <w:rFonts w:hint="eastAsia" w:ascii="宋体" w:hAnsi="宋体"/>
                <w:b/>
                <w:bCs/>
                <w:sz w:val="24"/>
                <w:szCs w:val="24"/>
                <w:highlight w:val="none"/>
                <w:u w:val="single"/>
                <w:lang w:val="en-US" w:eastAsia="zh-CN"/>
              </w:rPr>
            </w:pPr>
            <w:r>
              <w:rPr>
                <w:rFonts w:hint="eastAsia" w:ascii="宋体" w:hAnsi="宋体"/>
                <w:b/>
                <w:bCs/>
                <w:sz w:val="24"/>
                <w:szCs w:val="24"/>
                <w:highlight w:val="none"/>
                <w:u w:val="single"/>
              </w:rPr>
              <w:t xml:space="preserve">（3）投标人须提供所投加速卡</w:t>
            </w:r>
            <w:r>
              <w:rPr>
                <w:rFonts w:hint="eastAsia" w:ascii="宋体" w:hAnsi="宋体"/>
                <w:b/>
                <w:bCs/>
                <w:sz w:val="24"/>
                <w:szCs w:val="24"/>
                <w:highlight w:val="none"/>
                <w:u w:val="single"/>
                <w:lang w:val="en-US" w:eastAsia="zh-CN"/>
              </w:rPr>
              <w:t xml:space="preserve">满足</w:t>
            </w:r>
            <w:r>
              <w:rPr>
                <w:rFonts w:hint="eastAsia" w:ascii="宋体" w:hAnsi="宋体"/>
                <w:b/>
                <w:bCs/>
                <w:sz w:val="24"/>
                <w:szCs w:val="24"/>
                <w:highlight w:val="none"/>
                <w:u w:val="single"/>
              </w:rPr>
              <w:t xml:space="preserve">在 ResNet-50 图像分类推理任务</w:t>
            </w:r>
            <w:r>
              <w:rPr>
                <w:rFonts w:hint="eastAsia" w:ascii="宋体" w:hAnsi="宋体"/>
                <w:b/>
                <w:bCs/>
                <w:sz w:val="24"/>
                <w:szCs w:val="24"/>
                <w:highlight w:val="none"/>
                <w:u w:val="single"/>
                <w:lang w:val="en-US" w:eastAsia="zh-CN"/>
              </w:rPr>
              <w:t xml:space="preserve">和</w:t>
            </w:r>
            <w:r>
              <w:rPr>
                <w:rFonts w:hint="eastAsia" w:ascii="宋体" w:hAnsi="宋体"/>
                <w:b/>
                <w:bCs/>
                <w:sz w:val="24"/>
                <w:szCs w:val="24"/>
                <w:highlight w:val="none"/>
                <w:u w:val="single"/>
              </w:rPr>
              <w:t xml:space="preserve">BERT-base 自然语言处理推理中的</w:t>
            </w:r>
            <w:r>
              <w:rPr>
                <w:rFonts w:hint="eastAsia" w:ascii="宋体" w:hAnsi="宋体"/>
                <w:b/>
                <w:bCs/>
                <w:sz w:val="24"/>
                <w:szCs w:val="24"/>
                <w:highlight w:val="none"/>
                <w:u w:val="single"/>
                <w:lang w:val="en-US" w:eastAsia="zh-CN"/>
              </w:rPr>
              <w:t xml:space="preserve">符合上述性能水平的</w:t>
            </w:r>
            <w:r>
              <w:rPr>
                <w:rFonts w:hint="eastAsia" w:ascii="宋体" w:hAnsi="宋体"/>
                <w:b/>
                <w:bCs/>
                <w:sz w:val="24"/>
                <w:szCs w:val="24"/>
                <w:highlight w:val="none"/>
                <w:u w:val="single"/>
              </w:rPr>
              <w:t xml:space="preserve">性能</w:t>
            </w:r>
            <w:r>
              <w:rPr>
                <w:rFonts w:hint="eastAsia" w:ascii="宋体" w:hAnsi="宋体"/>
                <w:b/>
                <w:bCs/>
                <w:sz w:val="24"/>
                <w:szCs w:val="24"/>
                <w:highlight w:val="none"/>
                <w:u w:val="single"/>
                <w:lang w:val="en-US" w:eastAsia="zh-CN"/>
              </w:rPr>
              <w:t xml:space="preserve">证明。</w:t>
            </w:r>
            <w:r/>
          </w:p>
          <w:p>
            <w:pPr>
              <w:spacing w:line="300" w:lineRule="auto"/>
              <w:rPr>
                <w:rFonts w:hint="eastAsia" w:ascii="宋体" w:hAnsi="宋体" w:eastAsia="宋体"/>
                <w:b/>
                <w:bCs/>
                <w:sz w:val="24"/>
                <w:szCs w:val="24"/>
                <w:highlight w:val="none"/>
                <w:u w:val="single"/>
                <w:lang w:val="en-US" w:eastAsia="zh-CN"/>
              </w:rPr>
            </w:pPr>
            <w:r>
              <w:rPr>
                <w:rFonts w:hint="eastAsia" w:ascii="宋体" w:hAnsi="宋体"/>
                <w:b/>
                <w:bCs/>
                <w:sz w:val="24"/>
                <w:szCs w:val="24"/>
                <w:highlight w:val="none"/>
                <w:u w:val="single"/>
                <w:lang w:val="en-US" w:eastAsia="zh-CN"/>
              </w:rPr>
              <w:t xml:space="preserve">注：本条上述证明可提供由投标人提供加盖公章的满足性能及相关驱动、软件的</w:t>
            </w:r>
            <w:r>
              <w:rPr>
                <w:rFonts w:hint="eastAsia" w:ascii="宋体" w:hAnsi="宋体"/>
                <w:b/>
                <w:bCs/>
                <w:sz w:val="24"/>
                <w:szCs w:val="24"/>
                <w:highlight w:val="none"/>
                <w:u w:val="single"/>
              </w:rPr>
              <w:t xml:space="preserve">适配</w:t>
            </w:r>
            <w:r>
              <w:rPr>
                <w:rFonts w:hint="eastAsia" w:ascii="宋体" w:hAnsi="宋体"/>
                <w:b/>
                <w:bCs/>
                <w:sz w:val="24"/>
                <w:szCs w:val="24"/>
                <w:highlight w:val="none"/>
                <w:u w:val="single"/>
                <w:lang w:val="en-US" w:eastAsia="zh-CN"/>
              </w:rPr>
              <w:t xml:space="preserve">承诺</w:t>
            </w:r>
            <w:r>
              <w:rPr>
                <w:rFonts w:hint="eastAsia" w:ascii="宋体" w:hAnsi="宋体"/>
                <w:b/>
                <w:bCs/>
                <w:sz w:val="24"/>
                <w:szCs w:val="24"/>
                <w:highlight w:val="none"/>
                <w:u w:val="single"/>
              </w:rPr>
              <w:t xml:space="preserve">函</w:t>
            </w:r>
            <w:r>
              <w:rPr>
                <w:rFonts w:hint="eastAsia" w:ascii="宋体" w:hAnsi="宋体"/>
                <w:b/>
                <w:bCs/>
                <w:sz w:val="24"/>
                <w:szCs w:val="24"/>
                <w:highlight w:val="none"/>
                <w:u w:val="single"/>
                <w:lang w:eastAsia="zh-CN"/>
              </w:rPr>
              <w:t xml:space="preserve">。</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网络与电源：</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 集成 ≥ 4 个千兆以太网（1GbE）电口，至少支持 2 个万兆（10GbE</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含配套模块和线缆</w:t>
            </w:r>
            <w:r>
              <w:rPr>
                <w:rFonts w:hint="eastAsia" w:ascii="宋体" w:hAnsi="宋体"/>
                <w:sz w:val="24"/>
                <w:szCs w:val="24"/>
                <w:highlight w:val="none"/>
              </w:rPr>
              <w:t xml:space="preserve">）光口或可扩展槽位，满足分布式训练与存储网络分离需求；</w:t>
            </w:r>
            <w:r/>
          </w:p>
          <w:p>
            <w:pPr>
              <w:spacing w:line="300" w:lineRule="auto"/>
              <w:rPr>
                <w:rFonts w:hint="eastAsia" w:ascii="宋体" w:hAnsi="宋体"/>
                <w:sz w:val="24"/>
                <w:szCs w:val="24"/>
                <w:highlight w:val="none"/>
              </w:rPr>
            </w:pPr>
            <w:r>
              <w:rPr>
                <w:rFonts w:hint="eastAsia" w:ascii="宋体" w:hAnsi="宋体"/>
                <w:sz w:val="24"/>
                <w:szCs w:val="24"/>
                <w:highlight w:val="none"/>
              </w:rPr>
              <w:t xml:space="preserve">• 配置 ≥ 2 个 1200W 热插拔冗余交流电源，支持 80 PLUS 白金及以上能效标准，确保高功耗加速卡稳定运行。</w:t>
            </w:r>
            <w:r/>
          </w:p>
          <w:p>
            <w:pPr>
              <w:spacing w:line="300" w:lineRule="auto"/>
              <w:rPr>
                <w:rFonts w:hint="eastAsia" w:ascii="宋体" w:hAnsi="宋体"/>
                <w:b/>
                <w:bCs/>
                <w:sz w:val="24"/>
                <w:szCs w:val="24"/>
                <w:highlight w:val="none"/>
                <w:u w:val="single"/>
              </w:rPr>
            </w:pPr>
            <w:r>
              <w:rPr>
                <w:rFonts w:hint="eastAsia" w:ascii="宋体" w:hAnsi="宋体"/>
                <w:sz w:val="24"/>
                <w:szCs w:val="24"/>
                <w:highlight w:val="none"/>
              </w:rPr>
              <w:t xml:space="preserve">8</w:t>
            </w:r>
            <w:r>
              <w:rPr>
                <w:rFonts w:hint="eastAsia" w:ascii="宋体" w:hAnsi="宋体"/>
                <w:sz w:val="24"/>
                <w:szCs w:val="24"/>
                <w:highlight w:val="none"/>
                <w:lang w:eastAsia="zh-CN"/>
              </w:rPr>
              <w:t xml:space="preserve">）</w:t>
            </w:r>
            <w:r>
              <w:rPr>
                <w:rFonts w:hint="eastAsia" w:ascii="宋体" w:hAnsi="宋体"/>
                <w:b/>
                <w:bCs/>
                <w:sz w:val="24"/>
                <w:szCs w:val="24"/>
                <w:highlight w:val="none"/>
                <w:u w:val="single"/>
              </w:rPr>
              <w:t xml:space="preserve">国产化生态适配：</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投标产品须具备与主流国产操作系统（包括但不限于麒麟软件、统信UOS、中科方德等）的良好兼容性，并提供以下任一形式的证明材料：</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（1）由操作系统厂商或加速卡制造商出具的官方兼容性认证证书或驱动适配报告；</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rPr>
              <w:t xml:space="preserve">（2）第三方检测机构出具的兼容性测试证明。</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lang w:val="en-US" w:eastAsia="zh-CN"/>
              </w:rPr>
              <w:t xml:space="preserve">（3）</w:t>
            </w:r>
            <w:r>
              <w:rPr>
                <w:rFonts w:hint="eastAsia" w:ascii="宋体" w:hAnsi="宋体"/>
                <w:b/>
                <w:bCs/>
                <w:sz w:val="24"/>
                <w:szCs w:val="24"/>
                <w:highlight w:val="none"/>
                <w:u w:val="single"/>
              </w:rPr>
              <w:t xml:space="preserve">投标人可提供加盖公章的适配</w:t>
            </w:r>
            <w:r>
              <w:rPr>
                <w:rFonts w:hint="eastAsia" w:ascii="宋体" w:hAnsi="宋体"/>
                <w:b/>
                <w:bCs/>
                <w:sz w:val="24"/>
                <w:szCs w:val="24"/>
                <w:highlight w:val="none"/>
                <w:u w:val="single"/>
                <w:lang w:val="en-US" w:eastAsia="zh-CN"/>
              </w:rPr>
              <w:t xml:space="preserve">承诺</w:t>
            </w:r>
            <w:r>
              <w:rPr>
                <w:rFonts w:hint="eastAsia" w:ascii="宋体" w:hAnsi="宋体"/>
                <w:b/>
                <w:bCs/>
                <w:sz w:val="24"/>
                <w:szCs w:val="24"/>
                <w:highlight w:val="none"/>
                <w:u w:val="single"/>
              </w:rPr>
              <w:t xml:space="preserve">函，声明内容应</w:t>
            </w:r>
            <w:r>
              <w:rPr>
                <w:rFonts w:hint="eastAsia" w:ascii="宋体" w:hAnsi="宋体"/>
                <w:b/>
                <w:bCs/>
                <w:sz w:val="24"/>
                <w:szCs w:val="24"/>
                <w:highlight w:val="none"/>
                <w:u w:val="single"/>
                <w:lang w:val="en-US" w:eastAsia="zh-CN"/>
              </w:rPr>
              <w:t xml:space="preserve">至少</w:t>
            </w:r>
            <w:r>
              <w:rPr>
                <w:rFonts w:hint="eastAsia" w:ascii="宋体" w:hAnsi="宋体"/>
                <w:b/>
                <w:bCs/>
                <w:sz w:val="24"/>
                <w:szCs w:val="24"/>
                <w:highlight w:val="none"/>
                <w:u w:val="single"/>
              </w:rPr>
              <w:t xml:space="preserve">包括：</w:t>
            </w:r>
            <w:r/>
          </w:p>
          <w:p>
            <w:pPr>
              <w:spacing w:line="300" w:lineRule="auto"/>
              <w:rPr>
                <w:rFonts w:hint="eastAsia" w:ascii="宋体" w:hAnsi="宋体"/>
                <w:b/>
                <w:bCs/>
                <w:sz w:val="24"/>
                <w:szCs w:val="24"/>
                <w:highlight w:val="none"/>
                <w:u w:val="single"/>
              </w:rPr>
            </w:pPr>
            <w:r>
              <w:rPr>
                <w:rFonts w:hint="eastAsia" w:ascii="宋体" w:hAnsi="宋体"/>
                <w:b/>
                <w:bCs/>
                <w:sz w:val="24"/>
                <w:szCs w:val="24"/>
                <w:highlight w:val="none"/>
                <w:u w:val="single"/>
                <w:lang w:val="en-US" w:eastAsia="zh-CN"/>
              </w:rPr>
              <w:t xml:space="preserve">1、</w:t>
            </w:r>
            <w:r>
              <w:rPr>
                <w:rFonts w:hint="eastAsia" w:ascii="宋体" w:hAnsi="宋体"/>
                <w:b/>
                <w:bCs/>
                <w:sz w:val="24"/>
                <w:szCs w:val="24"/>
                <w:highlight w:val="none"/>
                <w:u w:val="single"/>
              </w:rPr>
              <w:t xml:space="preserve">已完成与指定国产操作系统的驱动安装、基础功能验证及AI框架（如TensorFlow、PyTorch、MindSpore等）运行测试；</w:t>
            </w:r>
            <w:r/>
          </w:p>
          <w:p>
            <w:pPr>
              <w:jc w:val="both"/>
              <w:spacing w:line="300" w:lineRule="auto"/>
              <w:rPr>
                <w:rFonts w:hint="eastAsia" w:ascii="宋体" w:hAnsi="宋体"/>
                <w:sz w:val="24"/>
                <w:szCs w:val="24"/>
                <w:highlight w:val="none"/>
              </w:rPr>
            </w:pPr>
            <w:r>
              <w:rPr>
                <w:rFonts w:hint="eastAsia" w:ascii="宋体" w:hAnsi="宋体"/>
                <w:b/>
                <w:bCs/>
                <w:sz w:val="24"/>
                <w:szCs w:val="24"/>
                <w:highlight w:val="none"/>
                <w:u w:val="single"/>
                <w:lang w:val="en-US" w:eastAsia="zh-CN"/>
              </w:rPr>
              <w:t xml:space="preserve">2、</w:t>
            </w:r>
            <w:r>
              <w:rPr>
                <w:rFonts w:hint="eastAsia" w:ascii="宋体" w:hAnsi="宋体"/>
                <w:b/>
                <w:bCs/>
                <w:sz w:val="24"/>
                <w:szCs w:val="24"/>
                <w:highlight w:val="none"/>
                <w:u w:val="single"/>
              </w:rPr>
              <w:t xml:space="preserve">承诺在合同签订后30日内配合采购人完成现场适配验证，确保操作系统基础功能、驱动稳定性及AI框架（TensorFlow/PyTorch/MindSpore）基本运行能力正常</w:t>
            </w:r>
            <w:r>
              <w:rPr>
                <w:rFonts w:hint="eastAsia" w:ascii="宋体" w:hAnsi="宋体"/>
                <w:b/>
                <w:bCs/>
                <w:sz w:val="24"/>
                <w:szCs w:val="24"/>
                <w:highlight w:val="none"/>
                <w:u w:val="single"/>
                <w:lang w:eastAsia="zh-CN"/>
              </w:rPr>
              <w:t xml:space="preserve">，</w:t>
            </w:r>
            <w:r>
              <w:rPr>
                <w:rFonts w:hint="eastAsia" w:ascii="宋体" w:hAnsi="宋体"/>
                <w:b/>
                <w:bCs/>
                <w:sz w:val="24"/>
                <w:szCs w:val="24"/>
                <w:highlight w:val="none"/>
                <w:u w:val="single"/>
              </w:rPr>
              <w:t xml:space="preserve">否则视为无法履约。</w:t>
            </w:r>
            <w:r/>
          </w:p>
        </w:tc>
      </w:tr>
    </w:tbl>
    <w:p>
      <w:pPr>
        <w:pStyle w:val="796"/>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t xml:space="preserve">说明：</w:t>
      </w: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t xml:space="preserve">、投标人拟供应货物中如有属于中国信息安全测评中心公布的安全可靠测评结果公告中所包含的标的物的，投标人须选用中国信息安全测评中心公布的安全可靠测评结果公告中所公示的标的物（须在公告有效期内），供货前须提供相关标的物在中国信息安全测评中心公布的安全可靠测评结果公告中的相关证明材料（包括但不限于网页截图等</w:t>
      </w:r>
      <w:bookmarkStart w:id="165" w:name="_GoBack"/>
      <w:r/>
      <w:bookmarkEnd w:id="165"/>
      <w:r>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t xml:space="preserve">）</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。技术参数要求中所指的检测报告（</w:t>
      </w:r>
      <w:r>
        <w:rPr>
          <w:rFonts w:hint="eastAsia" w:cs="宋体"/>
          <w:b/>
          <w:bCs/>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如有要求</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）均为：由有资质的检测机构出具的检测报告</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中标人</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须</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按</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采购人</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要求</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提供</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符合</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采购文件要求的</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检测报告</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相关</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检测费用</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由</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中标人</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承担</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投标</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人</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在</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投报</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报价中</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综合考虑</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上述费用</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；证明材料（</w:t>
      </w:r>
      <w:r>
        <w:rPr>
          <w:rFonts w:hint="eastAsia" w:cs="宋体"/>
          <w:b/>
          <w:bCs/>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如有要求</w:t>
      </w:r>
      <w:r>
        <w:rPr>
          <w:rFonts w:hint="eastAsia"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）为生产厂家出具的证明材料</w:t>
      </w:r>
      <w:r>
        <w:rPr>
          <w:rFonts w:hint="eastAsia" w:ascii="宋体" w:hAnsi="宋体" w:eastAsia="宋体" w:cs="宋体"/>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pStyle w:val="796"/>
        <w:jc w:val="left"/>
        <w:keepLines w:val="0"/>
        <w:keepNext w:val="0"/>
        <w:pageBreakBefore w:val="0"/>
        <w:spacing w:beforeAutospacing="0" w:afterAutospacing="0" w:line="440" w:lineRule="exact"/>
        <w:widowControl/>
        <w:rPr>
          <w:rFonts w:hint="eastAsia" w:ascii="宋体" w:hAnsi="宋体" w:eastAsia="宋体" w:cs="宋体"/>
          <w:b/>
          <w:bCs/>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b/>
          <w:bCs/>
          <w:i/>
          <w:iCs/>
          <w:caps w:val="0"/>
          <w:color w:val="000000" w:themeColor="text1"/>
          <w:spacing w:val="0"/>
          <w:sz w:val="24"/>
          <w:szCs w:val="24"/>
          <w:highlight w:val="none"/>
          <w:u w:val="single"/>
          <w:shd w:val="clear" w:color="auto" w:fill="auto"/>
          <w14:textFill>
            <w14:solidFill>
              <w14:schemeClr w14:val="tx1"/>
            </w14:solidFill>
          </w14:textFill>
        </w:rPr>
        <w:t xml:space="preserve">2、本项目不接受技术参数为负偏离的投标。</w:t>
      </w:r>
      <w:r/>
    </w:p>
    <w:p>
      <w:pPr>
        <w:pStyle w:val="796"/>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二、其他要求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1、供应商应保证货物是全新、未使用过的，是用一流的工艺和最佳材料制造的、合法渠道进货的正宗、未使用过的原装合格正品，产品质量完全符合国家规定的产品质量标准，并完全符合合同规定的质量、规格和性能的要求。供应商应保证其货物在正确安装、正常使用和保养条件下，在其使用寿命期内应具有满意的性能。</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本项目采用“固定全费用单价”报价，投标报价应包括供应商为完成本项目采购文件所确定的采购范围内的所有内容所需的全部费用。包括（但不限于）：设备材料采购成本、成品制作加工费（含设计优化、制作调试等）；配套软件编制费（含技术资料开发、授权许可、系统集成等）；货物包装、运输、保险费（含至招标人指定地点的全程费用）；装卸费、现场搬运及就位费及包装废弃物清理费；设备安装、系统</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调试及试运行费（含设备与配套软件的对接适配、测试、性能验证等）；验货、验收等费用；操作培训、维护培训及技术交底费用（含培训资料编制等）；质保期内免费维保费用（含零部件更换、故障处理、现场服务及远程技术支持等）；管理费、保密费、配合费（如与其他项目方的协作支出）、咨询服务费（招标代理服务费用）、利润、税金（开具符合采购人要求的发票）、不可预见费、各类风险费（含市场波动、政策调整等）等及其他有关的为完成本项目所发生的所有费用。凡漏项或少计均视为优惠，采购人不另增加费用，最终结算时除合同约定调整外一律不予调整。 </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3、采购货物的交货时间：成交供应商应当按照投标承诺如期供货，如不能如期供货，成交供应商须承担由此对采购人造成的损失；</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4、成交供应商所供货物应当符合采购文件要求及供应商承诺的技术指标，否则采购人有权拒绝验收；</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iCs/>
          <w: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5、成交供应商货到安装调试完成后，采购人根据采购项目的具体情况组织履约验收工作。如成交供应商所供货物（含及有关的服务）经验收小组认定质量不合格的，造成的损失和后果由成交供应商负全部责任。</w:t>
      </w:r>
      <w:r/>
    </w:p>
    <w:p>
      <w:pPr>
        <w:pStyle w:val="796"/>
        <w:ind w:firstLine="482"/>
        <w:jc w:val="left"/>
        <w:keepLines w:val="0"/>
        <w:keepNext w:val="0"/>
        <w:pageBreakBefore w:val="0"/>
        <w:spacing w:beforeAutospacing="0" w:afterAutospacing="0" w:line="440" w:lineRule="exact"/>
        <w:widowControl/>
        <w:rPr>
          <w:rFonts w:hint="default"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6、本项目</w:t>
      </w: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 xml:space="preserve">核心产品为：数字化人才培养系统（序号3）。</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7、如招标文件需求阐述不清可能存在疑义的，以采购人解释为准。</w:t>
      </w:r>
      <w:r/>
    </w:p>
    <w:p>
      <w:pPr>
        <w:pStyle w:val="796"/>
        <w:ind w:firstLine="480"/>
        <w:jc w:val="left"/>
        <w:keepLines w:val="0"/>
        <w:keepNext w:val="0"/>
        <w:pageBreakBefore w:val="0"/>
        <w:spacing w:beforeAutospacing="0" w:afterAutospacing="0" w:line="440" w:lineRule="exact"/>
        <w:widowControl/>
        <w:rPr>
          <w:rFonts w:hint="default"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rPr>
          <w:rFonts w:hint="eastAsia"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具体详见合同及询价文件中的要求。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（三）、采购需求中必须满足的实质性要求。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eastAsia="宋体" w:cs="宋体"/>
          <w:i/>
          <w:color w:val="000000" w:themeColor="text1"/>
          <w:sz w:val="24"/>
          <w:szCs w:val="24"/>
          <w:highlight w:val="none"/>
          <w:u w:val="single"/>
          <w:shd w:val="clear" w:color="auto" w:fill="auto"/>
          <w:lang w:val="en-US" w:eastAsia="zh-CN"/>
          <w14:textFill>
            <w14:solidFill>
              <w14:schemeClr w14:val="tx1"/>
            </w14:solidFill>
          </w14:textFill>
        </w:rPr>
        <w:t xml:space="preserve">1、本项目技术参数均为实质性指标参数，投标人应在《技术要求响应及偏离表》列出并完全响应招标文件要求，供应商完全同意条款（即无偏离）或提出对采购人更有利的条款（即正偏离）都属于响应，供应商不同意某项条款（即负偏离）的属于不响应，按无效响应处理</w:t>
      </w:r>
      <w:r>
        <w:rPr>
          <w:rFonts w:hint="eastAsia" w:eastAsia="宋体" w:cs="宋体"/>
          <w:i/>
          <w:color w:val="000000" w:themeColor="text1"/>
          <w:sz w:val="24"/>
          <w:szCs w:val="24"/>
          <w:highlight w:val="none"/>
          <w:u w:val="singl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color w:val="000000" w:themeColor="text1"/>
          <w:sz w:val="24"/>
          <w:szCs w:val="24"/>
          <w:highlight w:val="none"/>
          <w:u w:val="single"/>
          <w:shd w:val="clear" w:color="auto" w:fill="auto"/>
          <w14:textFill>
            <w14:solidFill>
              <w14:schemeClr w14:val="tx1"/>
            </w14:solidFill>
          </w14:textFill>
        </w:rPr>
        <w:t xml:space="preserve">（四）、本项目 不接受  进口产品参加询价</w:t>
      </w:r>
      <w:r>
        <w:rPr>
          <w:rFonts w:hint="eastAsia" w:eastAsia="宋体" w:cs="宋体"/>
          <w:i/>
          <w:color w:val="000000" w:themeColor="text1"/>
          <w:sz w:val="24"/>
          <w:szCs w:val="24"/>
          <w:highlight w:val="none"/>
          <w:u w:val="singl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（五）、</w:t>
      </w:r>
      <w:r>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t xml:space="preserve">招标文件中引用的某些的品牌或型号及参考图片（如有）等所有内容仅为编制文件需要并仅供投标人参考，招标人不限制其他品牌参与投标。投标人在投标中可以选用替代品牌或型号，但这些替代的性能及指标须满足或超过招标文件的要求。招标文件中所列出的技术参数及相关功能等要求为本项目的基础参数及功能要求，投标人投标所选用产品的技术参数及相关功能等应满足或优于招标文件中所列出的要求。</w:t>
      </w:r>
      <w:r/>
    </w:p>
    <w:p>
      <w:pPr>
        <w:pStyle w:val="796"/>
        <w:ind w:firstLine="482"/>
        <w:jc w:val="left"/>
        <w:keepLines w:val="0"/>
        <w:keepNext w:val="0"/>
        <w:pageBreakBefore w:val="0"/>
        <w:spacing w:beforeAutospacing="0" w:afterAutospacing="0" w:line="440" w:lineRule="exact"/>
        <w:widowControl/>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auto"/>
          <w14:textFill>
            <w14:solidFill>
              <w14:schemeClr w14:val="tx1"/>
            </w14:solidFill>
          </w14:textFill>
        </w:rPr>
        <w:t xml:space="preserve">中标人必须确保提供的产品应是全新合格产品，各项技术参数指标应达到该国家标准或行业标准以及投标文件的承诺，中标人应严格履行服务承诺，若产品出现质量技术等问题，应及时更换并承担由此引起的延长交付使用的经济责任。</w:t>
      </w:r>
      <w:r/>
    </w:p>
    <w:p>
      <w:pPr>
        <w:pStyle w:val="796"/>
        <w:ind w:firstLine="441"/>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政府采购政策功能落实</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1、小微型企业价格扣除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①本项目不专门面向中小企业采购，对符合规定的小型和微型企业报价给予20%的扣除价格，用扣除后的价格参与评审。</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（2）供应商需按照</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文件的要求提供相应的《</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中小</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声</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明函》。</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（3）企业标准请参照《关于印发中小企业划型标准规定的通知》（工信部联企业</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）文件规定自行填写。</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2、残疾人福利单位价格扣除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（1）本项目对残疾人福利性单位视同小型、微型企业，给予20%的价格扣除</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（2）残疾人福利单位需按照</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询价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文件的要求提供《残疾人福利性单位声明函》。</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（3）残疾人福利单位标准请参照《关于促进残疾人就业政府采购政策的通知》（财库〔2017〕141号）。</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3、监狱和戒毒企业价格扣除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（1）本项目对监狱和戒毒企业（简称监狱企业）视同小型、微型企业，给予20%的价格扣除</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〔2014〕68号</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4、残疾人福利单位、监狱企业属于小型、微型企业的，不重复享受政策。</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6、联合体各方均为小型、微型企业（残疾人福利单位、监狱企业）的，联合体享受</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20%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shd w:val="clear" w:color="auto" w:fill="auto"/>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其他条件相同情况下，应当优先采购节能产品、环境标志产品</w:t>
      </w:r>
      <w:r>
        <w:rPr>
          <w:rFonts w:hint="eastAsia" w:cs="宋体"/>
          <w:color w:val="000000" w:themeColor="text1"/>
          <w:sz w:val="24"/>
          <w:szCs w:val="24"/>
          <w:highlight w:val="none"/>
          <w:shd w:val="clear" w:color="auto" w:fill="auto"/>
          <w:lang w:eastAsia="zh-CN"/>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cs="宋体"/>
          <w:b/>
          <w:bCs/>
          <w:color w:val="000000" w:themeColor="text1"/>
          <w:sz w:val="24"/>
          <w:szCs w:val="24"/>
          <w:highlight w:val="none"/>
          <w:shd w:val="clear" w:color="auto" w:fill="auto"/>
          <w:lang w:val="en-US" w:eastAsia="zh-CN"/>
          <w14:textFill>
            <w14:solidFill>
              <w14:schemeClr w14:val="tx1"/>
            </w14:solidFill>
          </w14:textFill>
        </w:rPr>
      </w:pPr>
      <w:r>
        <w:rPr>
          <w:rFonts w:hint="eastAsia" w:cs="宋体"/>
          <w:b/>
          <w:bCs/>
          <w:color w:val="000000" w:themeColor="text1"/>
          <w:sz w:val="24"/>
          <w:szCs w:val="24"/>
          <w:highlight w:val="none"/>
          <w:shd w:val="clear" w:color="auto" w:fill="auto"/>
          <w:lang w:val="en-US" w:eastAsia="zh-CN"/>
          <w14:textFill>
            <w14:solidFill>
              <w14:schemeClr w14:val="tx1"/>
            </w14:solidFill>
          </w14:textFill>
        </w:rPr>
        <w:t xml:space="preserve">8、竞赛需求：</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cs="宋体"/>
          <w:b/>
          <w:bCs/>
          <w:color w:val="000000" w:themeColor="text1"/>
          <w:sz w:val="24"/>
          <w:szCs w:val="24"/>
          <w:highlight w:val="none"/>
          <w:shd w:val="clear" w:color="auto" w:fill="auto"/>
          <w:lang w:val="en-US" w:eastAsia="zh-CN"/>
          <w14:textFill>
            <w14:solidFill>
              <w14:schemeClr w14:val="tx1"/>
            </w14:solidFill>
          </w14:textFill>
        </w:rPr>
        <w:t xml:space="preserve">投标人须确保所提供货物满足世界职业院校技能大赛 “大数据应用开发”（高职组） 赛项的竞赛培训、训练需求</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p>
    <w:p>
      <w:pPr>
        <w:pStyle w:val="796"/>
        <w:ind w:firstLine="480"/>
        <w:jc w:val="left"/>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（八）、采购</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标的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对应的中小企业划分标准所属行业一览表</w:t>
      </w:r>
      <w:r/>
    </w:p>
    <w:tbl>
      <w:tblPr>
        <w:tblStyle w:val="773"/>
        <w:tblW w:w="8718" w:type="dxa"/>
        <w:tblCellSpacing w:w="0" w:type="dxa"/>
        <w:tblInd w:w="1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9"/>
        <w:gridCol w:w="4064"/>
        <w:gridCol w:w="3725"/>
      </w:tblGrid>
      <w:tr>
        <w:trPr>
          <w:tblCellSpacing w:w="0" w:type="dxa"/>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796"/>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pStyle w:val="796"/>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pStyle w:val="796"/>
              <w:ind w:left="0" w:right="0" w:firstLine="0"/>
              <w:jc w:val="center"/>
              <w:spacing w:before="0" w:beforeAutospacing="0" w:after="0" w:afterAutospacing="0" w:line="240" w:lineRule="auto"/>
              <w:widowControl w:val="off"/>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tblCellSpacing w:w="0" w:type="dxa"/>
          <w:trHeight w:val="890"/>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s="宋体"/>
                <w:color w:val="000000" w:themeColor="text1"/>
                <w:sz w:val="24"/>
                <w:szCs w:val="24"/>
                <w:highlight w:val="none"/>
                <w:lang w:eastAsia="zh-CN" w:bidi="ar"/>
                <w14:textFill>
                  <w14:solidFill>
                    <w14:schemeClr w14:val="tx1"/>
                  </w14:solidFill>
                </w14:textFill>
              </w:rPr>
              <w:t xml:space="preserve">盐城农业科技职业学院大数据应用实训室实训平台及配套设备采购项目</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pStyle w:val="796"/>
              <w:ind w:left="0" w:right="0" w:firstLine="0"/>
              <w:jc w:val="center"/>
              <w:spacing w:before="0" w:beforeAutospacing="0" w:after="0" w:afterAutospacing="0" w:line="24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highlight w:val="none"/>
              </w:rPr>
              <w:t xml:space="preserve">软件和信息技术服务业</w:t>
            </w:r>
            <w:r/>
          </w:p>
        </w:tc>
      </w:tr>
    </w:tbl>
    <w:p>
      <w:pPr>
        <w:spacing w:line="360" w:lineRule="auto"/>
        <w:rPr>
          <w:rFonts w:hint="eastAsia" w:ascii="宋体"/>
          <w:color w:val="000000" w:themeColor="text1"/>
          <w:position w:val="2"/>
          <w:sz w:val="28"/>
          <w:highlight w:val="none"/>
          <w:shd w:val="clear" w:color="auto" w:fill="auto"/>
          <w14:textFill>
            <w14:solidFill>
              <w14:schemeClr w14:val="tx1"/>
            </w14:solidFill>
          </w14:textFill>
        </w:rPr>
      </w:pPr>
      <w:r>
        <w:rPr>
          <w:rFonts w:hint="eastAsia" w:ascii="宋体"/>
          <w:color w:val="000000" w:themeColor="text1"/>
          <w:position w:val="2"/>
          <w:sz w:val="28"/>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br w:type="page" w:clear="all"/>
      </w:r>
      <w:r>
        <w:rPr>
          <w:rFonts w:hint="eastAsia" w:ascii="黑体" w:eastAsia="黑体" w:cs="黑体"/>
          <w:color w:val="000000" w:themeColor="text1"/>
          <w:sz w:val="44"/>
          <w:szCs w:val="44"/>
          <w:highlight w:val="none"/>
          <w:shd w:val="clear" w:color="auto" w:fill="auto"/>
          <w14:textFill>
            <w14:solidFill>
              <w14:schemeClr w14:val="tx1"/>
            </w14:solidFill>
          </w14:textFill>
        </w:rPr>
        <w:t xml:space="preserve">第五章  响应文件格式 </w:t>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szCs w:val="28"/>
          <w:highlight w:val="none"/>
          <w14:textFill>
            <w14:solidFill>
              <w14:schemeClr w14:val="tx1"/>
            </w14:solidFill>
          </w14:textFill>
        </w:rPr>
        <w:t xml:space="preserve">因系统原因，如招标文件中本部分的格式与“苏采云”系统中的不一致，以“苏采云”系统中的格式为准</w:t>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br w:type="page" w:clear="all"/>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keepNext/>
        <w:spacing w:before="0" w:beforeAutospacing="0" w:after="0" w:afterAutospacing="0"/>
        <w:widowControl w:val="off"/>
        <w:rPr>
          <w:rFonts w:hint="eastAsia" w:ascii="黑体" w:eastAsia="黑体" w:cs="黑体"/>
          <w:color w:val="000000" w:themeColor="text1"/>
          <w:sz w:val="44"/>
          <w:szCs w:val="44"/>
          <w:highlight w:val="none"/>
          <w:shd w:val="clear" w:color="auto" w:fill="auto"/>
          <w14:textFill>
            <w14:solidFill>
              <w14:schemeClr w14:val="tx1"/>
            </w14:solidFill>
          </w14:textFill>
        </w:rPr>
      </w:pPr>
      <w:r>
        <w:rPr>
          <w:rFonts w:hint="eastAsia" w:ascii="黑体" w:eastAsia="黑体" w:cs="黑体"/>
          <w:color w:val="000000" w:themeColor="text1"/>
          <w:sz w:val="44"/>
          <w:szCs w:val="44"/>
          <w:highlight w:val="none"/>
          <w:shd w:val="clear" w:color="auto" w:fill="auto"/>
          <w14:textFill>
            <w14:solidFill>
              <w14:schemeClr w14:val="tx1"/>
            </w14:solidFill>
          </w14:textFill>
        </w:rPr>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bookmarkStart w:id="142" w:name="_Toc49090576"/>
      <w:r/>
      <w:bookmarkEnd w:id="142"/>
      <w:r/>
      <w:bookmarkStart w:id="143" w:name="_Toc120614282"/>
      <w:r/>
      <w:bookmarkEnd w:id="143"/>
      <w:r/>
      <w:bookmarkStart w:id="144" w:name="_Hlt26955039"/>
      <w:r/>
      <w:bookmarkStart w:id="145" w:name="_Toc26554094"/>
      <w:r/>
      <w:bookmarkStart w:id="146" w:name="_Hlt26671244"/>
      <w:r>
        <w:rPr>
          <w:rFonts w:hint="eastAsia"/>
          <w:b/>
          <w:color w:val="000000" w:themeColor="text1"/>
          <w:sz w:val="72"/>
          <w:szCs w:val="72"/>
          <w:highlight w:val="none"/>
          <w:shd w:val="clear" w:color="auto" w:fill="auto"/>
          <w14:textFill>
            <w14:solidFill>
              <w14:schemeClr w14:val="tx1"/>
            </w14:solidFill>
          </w14:textFill>
        </w:rPr>
        <w:t xml:space="preserve">响  应  文  件</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firstLine="1084"/>
        <w:jc w:val="both"/>
        <w:spacing w:before="0" w:beforeAutospacing="0" w:after="0" w:afterAutospacing="0" w:line="600" w:lineRule="auto"/>
        <w:widowControl w:val="off"/>
        <w:rPr>
          <w:color w:val="000000" w:themeColor="text1"/>
          <w:highlight w:val="none"/>
          <w:shd w:val="clear" w:color="auto" w:fill="auto"/>
          <w14:textFill>
            <w14:solidFill>
              <w14:schemeClr w14:val="tx1"/>
            </w14:solidFill>
          </w14:textFill>
        </w:rPr>
      </w:pPr>
      <w:r>
        <w:rPr>
          <w:rFonts w:hint="eastAsia"/>
          <w:b/>
          <w:color w:val="000000" w:themeColor="text1"/>
          <w:sz w:val="36"/>
          <w:szCs w:val="36"/>
          <w:highlight w:val="none"/>
          <w:shd w:val="clear" w:color="auto" w:fill="auto"/>
          <w14:textFill>
            <w14:solidFill>
              <w14:schemeClr w14:val="tx1"/>
            </w14:solidFill>
          </w14:textFill>
        </w:rPr>
        <w:t xml:space="preserve">项 目 名 称：</w:t>
      </w:r>
      <w:r>
        <w:rPr>
          <w:rFonts w:hint="eastAsia"/>
          <w:b/>
          <w:color w:val="000000" w:themeColor="text1"/>
          <w:sz w:val="36"/>
          <w:szCs w:val="36"/>
          <w:highlight w:val="none"/>
          <w:u w:val="single"/>
          <w:shd w:val="clear" w:color="auto" w:fill="auto"/>
          <w14:textFill>
            <w14:solidFill>
              <w14:schemeClr w14:val="tx1"/>
            </w14:solidFill>
          </w14:textFill>
        </w:rPr>
        <w:t xml:space="preserve">              </w:t>
      </w:r>
      <w:r/>
    </w:p>
    <w:p>
      <w:pPr>
        <w:pStyle w:val="796"/>
        <w:ind w:firstLine="1084"/>
        <w:jc w:val="both"/>
        <w:spacing w:before="0" w:beforeAutospacing="0" w:after="0" w:afterAutospacing="0" w:line="600" w:lineRule="auto"/>
        <w:widowControl w:val="off"/>
        <w:rPr>
          <w:color w:val="000000" w:themeColor="text1"/>
          <w:highlight w:val="none"/>
          <w:shd w:val="clear" w:color="auto" w:fill="auto"/>
          <w14:textFill>
            <w14:solidFill>
              <w14:schemeClr w14:val="tx1"/>
            </w14:solidFill>
          </w14:textFill>
        </w:rPr>
      </w:pPr>
      <w:r>
        <w:rPr>
          <w:rFonts w:hint="eastAsia"/>
          <w:b/>
          <w:color w:val="000000" w:themeColor="text1"/>
          <w:sz w:val="36"/>
          <w:szCs w:val="36"/>
          <w:highlight w:val="none"/>
          <w:shd w:val="clear" w:color="auto" w:fill="auto"/>
          <w14:textFill>
            <w14:solidFill>
              <w14:schemeClr w14:val="tx1"/>
            </w14:solidFill>
          </w14:textFill>
        </w:rPr>
        <w:t xml:space="preserve">项 目 编 号：</w:t>
      </w:r>
      <w:r>
        <w:rPr>
          <w:rFonts w:hint="eastAsia"/>
          <w:b/>
          <w:color w:val="000000" w:themeColor="text1"/>
          <w:sz w:val="36"/>
          <w:szCs w:val="36"/>
          <w:highlight w:val="none"/>
          <w:u w:val="single"/>
          <w:shd w:val="clear" w:color="auto" w:fill="auto"/>
          <w14:textFill>
            <w14:solidFill>
              <w14:schemeClr w14:val="tx1"/>
            </w14:solidFill>
          </w14:textFill>
        </w:rPr>
        <w:t xml:space="preserve">             </w:t>
      </w:r>
      <w:r/>
    </w:p>
    <w:p>
      <w:pPr>
        <w:pStyle w:val="796"/>
        <w:jc w:val="both"/>
        <w:spacing w:before="0" w:beforeAutospacing="0" w:after="0" w:afterAutospacing="0" w:line="600" w:lineRule="auto"/>
        <w:widowControl w:val="off"/>
        <w:rPr>
          <w:color w:val="000000" w:themeColor="text1"/>
          <w:highlight w:val="none"/>
          <w:shd w:val="clear" w:color="auto" w:fill="auto"/>
          <w14:textFill>
            <w14:solidFill>
              <w14:schemeClr w14:val="tx1"/>
            </w14:solidFill>
          </w14:textFill>
        </w:rPr>
      </w:pPr>
      <w:r>
        <w:rPr>
          <w:rFonts w:hint="eastAsia"/>
          <w:b/>
          <w:color w:val="000000" w:themeColor="text1"/>
          <w:sz w:val="36"/>
          <w:szCs w:val="36"/>
          <w:highlight w:val="none"/>
          <w:shd w:val="clear" w:color="auto" w:fill="auto"/>
          <w14:textFill>
            <w14:solidFill>
              <w14:schemeClr w14:val="tx1"/>
            </w14:solidFill>
          </w14:textFill>
        </w:rPr>
        <w:t xml:space="preserve">   供应商名称 ：</w:t>
      </w:r>
      <w:r>
        <w:rPr>
          <w:rFonts w:hint="eastAsia"/>
          <w:b/>
          <w:color w:val="000000" w:themeColor="text1"/>
          <w:sz w:val="36"/>
          <w:szCs w:val="36"/>
          <w:highlight w:val="none"/>
          <w:u w:val="single"/>
          <w:shd w:val="clear" w:color="auto" w:fill="auto"/>
          <w14:textFill>
            <w14:solidFill>
              <w14:schemeClr w14:val="tx1"/>
            </w14:solidFill>
          </w14:textFill>
        </w:rPr>
        <w:t xml:space="preserve">（加盖CA电子公章）</w:t>
      </w:r>
      <w:r/>
    </w:p>
    <w:p>
      <w:pPr>
        <w:pStyle w:val="796"/>
        <w:jc w:val="both"/>
        <w:spacing w:before="0" w:beforeAutospacing="0" w:after="0" w:afterAutospacing="0" w:line="600" w:lineRule="auto"/>
        <w:widowControl w:val="off"/>
        <w:rPr>
          <w:color w:val="000000" w:themeColor="text1"/>
          <w:highlight w:val="none"/>
          <w:shd w:val="clear" w:color="auto" w:fill="auto"/>
          <w14:textFill>
            <w14:solidFill>
              <w14:schemeClr w14:val="tx1"/>
            </w14:solidFill>
          </w14:textFill>
        </w:rPr>
      </w:pPr>
      <w:r>
        <w:rPr>
          <w:rFonts w:hint="eastAsia"/>
          <w:b/>
          <w:color w:val="000000" w:themeColor="text1"/>
          <w:sz w:val="36"/>
          <w:szCs w:val="36"/>
          <w:highlight w:val="none"/>
          <w:shd w:val="clear" w:color="auto" w:fill="auto"/>
          <w14:textFill>
            <w14:solidFill>
              <w14:schemeClr w14:val="tx1"/>
            </w14:solidFill>
          </w14:textFill>
        </w:rPr>
        <w:t xml:space="preserve">   日   期 ：</w:t>
      </w:r>
      <w:r>
        <w:rPr>
          <w:rFonts w:hint="eastAsia"/>
          <w:b/>
          <w:color w:val="000000" w:themeColor="text1"/>
          <w:sz w:val="36"/>
          <w:szCs w:val="36"/>
          <w:highlight w:val="none"/>
          <w:u w:val="singl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firstLine="1084"/>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b/>
          <w:color w:val="000000" w:themeColor="text1"/>
          <w:sz w:val="36"/>
          <w:szCs w:val="36"/>
          <w:highlight w:val="none"/>
          <w:u w:val="single"/>
          <w:shd w:val="clear" w:color="auto" w:fill="auto"/>
          <w14:textFill>
            <w14:solidFill>
              <w14:schemeClr w14:val="tx1"/>
            </w14:solidFill>
          </w14:textFill>
        </w:rPr>
        <w:br w:type="page" w:clear="all"/>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b/>
          <w:color w:val="000000" w:themeColor="text1"/>
          <w:sz w:val="32"/>
          <w:szCs w:val="32"/>
          <w:highlight w:val="none"/>
          <w:shd w:val="clear" w:color="auto" w:fill="auto"/>
          <w14:textFill>
            <w14:solidFill>
              <w14:schemeClr w14:val="tx1"/>
            </w14:solidFill>
          </w14:textFill>
        </w:rPr>
        <w:t xml:space="preserve">响应文件目录</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一、法人或者其他组织的营业执照等证明文件，自然人的身份证明</w:t>
      </w:r>
      <w:r/>
    </w:p>
    <w:p>
      <w:pPr>
        <w:pStyle w:val="796"/>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二、上一年度的财务状况报</w:t>
      </w:r>
      <w:r>
        <w:rPr>
          <w:rFonts w:hint="eastAsia" w:eastAsia="宋体" w:cs="宋体"/>
          <w:i w:val="0"/>
          <w:iCs/>
          <w:color w:val="000000" w:themeColor="text1"/>
          <w:sz w:val="24"/>
          <w:szCs w:val="24"/>
          <w:highlight w:val="none"/>
          <w:u w:val="none"/>
          <w:shd w:val="clear" w:color="auto" w:fill="auto"/>
          <w:lang w:val="en-US" w:eastAsia="zh-CN"/>
          <w14:textFill>
            <w14:solidFill>
              <w14:schemeClr w14:val="tx1"/>
            </w14:solidFill>
          </w14:textFill>
        </w:rPr>
        <w:t xml:space="preserve">告</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shd w:val="clear" w:color="auto" w:fill="auto"/>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询价供应商成立不满一年无需提供）</w:t>
      </w:r>
      <w:r/>
    </w:p>
    <w:p>
      <w:pPr>
        <w:pStyle w:val="796"/>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lang w:val="en-US" w:eastAsia="zh-CN"/>
          <w14:textFill>
            <w14:solidFill>
              <w14:schemeClr w14:val="tx1"/>
            </w14:solidFill>
          </w14:textFill>
        </w:rPr>
        <w:t xml:space="preserve">三</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、具备履行合同所必需的设备和专业技术能力的书面声明</w:t>
      </w:r>
      <w:r/>
    </w:p>
    <w:p>
      <w:pPr>
        <w:pStyle w:val="796"/>
        <w:ind w:left="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lang w:val="en-US" w:eastAsia="zh-CN"/>
          <w14:textFill>
            <w14:solidFill>
              <w14:schemeClr w14:val="tx1"/>
            </w14:solidFill>
          </w14:textFill>
        </w:rPr>
        <w:t xml:space="preserve">四</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五、参加政府采购活动前 3 年内在经营活动中没有重大违法记录的书面声明</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六、特定资格要求的证明文件（如果本项目设置特定资格要求，则需要提供）</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七、法人授权书</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八、</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询价</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响应</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函</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九、</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企业</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声</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明函</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十、残疾人福利性单位声明函</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十一、分项报价表（货物类）</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十二、技术要求响应及偏离表</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十三、商务要求响应及偏离表</w:t>
      </w:r>
      <w:r/>
    </w:p>
    <w:p>
      <w:pPr>
        <w:pStyle w:val="796"/>
        <w:ind w:firstLine="480"/>
        <w:jc w:val="both"/>
        <w:spacing w:before="0" w:beforeAutospacing="0" w:after="0" w:afterAutospacing="0" w:line="360" w:lineRule="auto"/>
        <w:widowControl w:val="off"/>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十四、</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询价</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报价表</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r>
      <w:r/>
    </w:p>
    <w:p>
      <w:pPr>
        <w:ind w:firstLine="480"/>
        <w:spacing w:before="50" w:after="50" w:line="360" w:lineRule="auto"/>
        <w:widowControl/>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十五、招标文件中规定要求提供的其他证明材料和投标人认为需要提供的其他材料</w:t>
      </w:r>
      <w:r/>
    </w:p>
    <w:p>
      <w:pPr>
        <w:pStyle w:val="796"/>
        <w:ind w:firstLine="480"/>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十</w:t>
      </w:r>
      <w:r>
        <w:rPr>
          <w:rFonts w:hint="eastAsia" w:eastAsia="宋体" w:cs="宋体"/>
          <w:i w:val="0"/>
          <w:iCs/>
          <w:color w:val="000000" w:themeColor="text1"/>
          <w:sz w:val="24"/>
          <w:szCs w:val="24"/>
          <w:highlight w:val="none"/>
          <w:u w:val="none"/>
          <w:shd w:val="clear" w:color="auto" w:fill="auto"/>
          <w:lang w:val="en-US" w:eastAsia="zh-CN"/>
          <w14:textFill>
            <w14:solidFill>
              <w14:schemeClr w14:val="tx1"/>
            </w14:solidFill>
          </w14:textFill>
        </w:rPr>
        <w:t xml:space="preserve">六</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、盐城市政府采购事前信用承诺书</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br w:type="page" w:clear="all"/>
      </w: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一、法人或者其他组织的营业执照等证明文件，自然人的身份证明</w:t>
      </w:r>
      <w:r/>
    </w:p>
    <w:p>
      <w:pPr>
        <w:pStyle w:val="796"/>
        <w:ind w:firstLine="480"/>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br w:type="page" w:clear="all"/>
      </w:r>
      <w:r/>
    </w:p>
    <w:p>
      <w:pPr>
        <w:pStyle w:val="796"/>
        <w:jc w:val="both"/>
        <w:spacing w:before="0" w:beforeAutospacing="0" w:after="0" w:afterAutospacing="0"/>
        <w:widowControl w:val="off"/>
        <w:rPr>
          <w:rFonts w:hint="eastAsia" w:eastAsia="黑体"/>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二、上一年度的财务状况报</w:t>
      </w:r>
      <w:r>
        <w:rPr>
          <w:rFonts w:hint="eastAsia" w:ascii="黑体" w:eastAsia="黑体" w:cs="黑体"/>
          <w:i/>
          <w:color w:val="000000" w:themeColor="text1"/>
          <w:sz w:val="32"/>
          <w:szCs w:val="32"/>
          <w:highlight w:val="none"/>
          <w:u w:val="single"/>
          <w:shd w:val="clear" w:color="auto" w:fill="auto"/>
          <w:lang w:val="en-US" w:eastAsia="zh-CN"/>
          <w14:textFill>
            <w14:solidFill>
              <w14:schemeClr w14:val="tx1"/>
            </w14:solidFill>
          </w14:textFill>
        </w:rPr>
        <w:t xml:space="preserve">告</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shd w:val="clear" w:color="auto" w:fill="auto"/>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sz w:val="24"/>
          <w:szCs w:val="24"/>
          <w:highlight w:val="none"/>
          <w:u w:val="none"/>
          <w:shd w:val="clear" w:color="auto" w:fill="auto"/>
          <w14:textFill>
            <w14:solidFill>
              <w14:schemeClr w14:val="tx1"/>
            </w14:solidFill>
          </w14:textFill>
        </w:rPr>
        <w:t xml:space="preserve">询价供应商成立不满一年无需提供）</w:t>
      </w:r>
      <w:r>
        <w:rPr>
          <w:color w:val="000000" w:themeColor="text1"/>
          <w:highlight w:val="none"/>
          <w:shd w:val="clear" w:color="auto" w:fill="auto"/>
          <w14:textFill>
            <w14:solidFill>
              <w14:schemeClr w14:val="tx1"/>
            </w14:solidFill>
          </w14:textFill>
        </w:rPr>
        <w:t xml:space="preserve"> </w:t>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lang w:val="en-US" w:eastAsia="zh-CN"/>
          <w14:textFill>
            <w14:solidFill>
              <w14:schemeClr w14:val="tx1"/>
            </w14:solidFill>
          </w14:textFill>
        </w:rPr>
        <w:br w:type="page" w:clear="all"/>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lang w:val="en-US" w:eastAsia="zh-CN"/>
          <w14:textFill>
            <w14:solidFill>
              <w14:schemeClr w14:val="tx1"/>
            </w14:solidFill>
          </w14:textFill>
        </w:rPr>
        <w:t xml:space="preserve">三</w:t>
      </w: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、具备履行合同所必需的设备和专业技术能力的书面声明</w:t>
      </w:r>
      <w:r/>
    </w:p>
    <w:p>
      <w:pPr>
        <w:pStyle w:val="796"/>
        <w:ind w:firstLine="492"/>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96"/>
        <w:ind w:firstLine="492"/>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主要设备有：</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shd w:val="clear" w:color="auto" w:fill="auto"/>
          <w14:textFill>
            <w14:solidFill>
              <w14:schemeClr w14:val="tx1"/>
            </w14:solidFill>
          </w14:textFill>
        </w:rPr>
        <w:t xml:space="preserve">。</w:t>
      </w:r>
      <w:r/>
    </w:p>
    <w:p>
      <w:pPr>
        <w:pStyle w:val="796"/>
        <w:jc w:val="both"/>
        <w:spacing w:before="0" w:beforeAutospacing="0" w:after="0" w:afterAutospacing="0"/>
        <w:widowControl w:val="off"/>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主要专业技术能力有：</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shd w:val="clear" w:color="auto" w:fill="auto"/>
          <w14:textFill>
            <w14:solidFill>
              <w14:schemeClr w14:val="tx1"/>
            </w14:solidFill>
          </w14:textFill>
        </w:rPr>
        <w:t xml:space="preserve">。</w:t>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lang w:val="en-US" w:eastAsia="zh-CN"/>
          <w14:textFill>
            <w14:solidFill>
              <w14:schemeClr w14:val="tx1"/>
            </w14:solidFill>
          </w14:textFill>
        </w:rPr>
        <w:br w:type="page" w:clear="all"/>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lang w:val="en-US" w:eastAsia="zh-CN"/>
          <w14:textFill>
            <w14:solidFill>
              <w14:schemeClr w14:val="tx1"/>
            </w14:solidFill>
          </w14:textFill>
        </w:rPr>
        <w:t xml:space="preserve">四</w:t>
      </w: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、依法缴纳税收和社会保障资金的相关材料</w:t>
      </w:r>
      <w:r/>
    </w:p>
    <w:p>
      <w:pPr>
        <w:pStyle w:val="796"/>
        <w:ind w:firstLine="480"/>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firstLine="492"/>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br w:type="page" w:clear="all"/>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五、参加政府采购活动前 3 年内在经营活动中没有重大违法记录的书面声明</w:t>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b/>
          <w:color w:val="000000" w:themeColor="text1"/>
          <w:sz w:val="44"/>
          <w:szCs w:val="44"/>
          <w:highlight w:val="none"/>
          <w:shd w:val="clear" w:color="auto" w:fill="auto"/>
          <w14:textFill>
            <w14:solidFill>
              <w14:schemeClr w14:val="tx1"/>
            </w14:solidFill>
          </w14:textFill>
        </w:rPr>
        <w:t xml:space="preserve">       声  明</w:t>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b/>
          <w:color w:val="000000" w:themeColor="text1"/>
          <w:highlight w:val="none"/>
          <w:shd w:val="clear" w:color="auto" w:fill="auto"/>
          <w14:textFill>
            <w14:solidFill>
              <w14:schemeClr w14:val="tx1"/>
            </w14:solidFill>
          </w14:textFill>
        </w:rPr>
        <w:t xml:space="preserve">    </w:t>
      </w:r>
      <w:r>
        <w:rPr>
          <w:rFonts w:hint="eastAsia"/>
          <w:color w:val="000000" w:themeColor="text1"/>
          <w:highlight w:val="none"/>
          <w:shd w:val="clear" w:color="auto" w:fill="auto"/>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br w:type="page" w:clear="all"/>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六、特定资格要求的证明文件</w:t>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   如果本项目申请人的特定资格要求中要求提供的，必须提供。</w:t>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bookmarkStart w:id="147" w:name="_Toc120614284"/>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br w:type="page" w:clear="all"/>
      </w:r>
      <w:r/>
    </w:p>
    <w:p>
      <w:pPr>
        <w:pStyle w:val="796"/>
        <w:jc w:val="center"/>
        <w:spacing w:before="0" w:beforeAutospacing="0" w:after="0" w:afterAutospacing="0"/>
        <w:widowControl w:val="off"/>
        <w:rPr>
          <w:rFonts w:hint="eastAsia" w:ascii="黑体" w:eastAsia="黑体" w:cs="黑体"/>
          <w:i/>
          <w:color w:val="000000" w:themeColor="text1"/>
          <w:sz w:val="32"/>
          <w:szCs w:val="32"/>
          <w:highlight w:val="none"/>
          <w:u w:val="singl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i/>
          <w:color w:val="000000" w:themeColor="text1"/>
          <w:sz w:val="32"/>
          <w:szCs w:val="32"/>
          <w:highlight w:val="none"/>
          <w:u w:val="single"/>
          <w:shd w:val="clear" w:color="auto" w:fill="auto"/>
          <w14:textFill>
            <w14:solidFill>
              <w14:schemeClr w14:val="tx1"/>
            </w14:solidFill>
          </w14:textFill>
        </w:rPr>
        <w:t xml:space="preserve">七、法人授权书</w:t>
      </w:r>
      <w:r/>
    </w:p>
    <w:p>
      <w:pPr>
        <w:pStyle w:val="796"/>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本授权书声明：____________（供应商名称）授权________________（被授权人的姓名）为我方就</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rPr>
          <w:rFonts w:hint="eastAsia" w:ascii="Times New Roman" w:hAnsi="Times New Roman" w:cs="Times New Roman"/>
          <w:color w:val="000000" w:themeColor="text1"/>
          <w:highlight w:val="none"/>
          <w:u w:val="single"/>
          <w:shd w:val="clear" w:color="auto" w:fill="auto"/>
          <w:lang w:val="en-US" w:eastAsia="zh-CN"/>
          <w14:textFill>
            <w14:solidFill>
              <w14:schemeClr w14:val="tx1"/>
            </w14:solidFill>
          </w14:textFill>
        </w:rPr>
        <w:t xml:space="preserve">        </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rPr>
          <w:rFonts w:ascii="Times New Roman" w:hAnsi="Times New Roman" w:cs="Times New Roman"/>
          <w:color w:val="000000" w:themeColor="text1"/>
          <w:highlight w:val="none"/>
          <w:shd w:val="clear" w:color="auto" w:fill="auto"/>
          <w14:textFill>
            <w14:solidFill>
              <w14:schemeClr w14:val="tx1"/>
            </w14:solidFill>
          </w14:textFill>
        </w:rPr>
        <w:t xml:space="preserve">号项目采购活动的合法代理人，以本单位名义全权处理一切与该项目采购有关的事务。</w:t>
      </w:r>
      <w:r/>
    </w:p>
    <w:p>
      <w:pPr>
        <w:pStyle w:val="796"/>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本授权书于______年____月____日起生效，特此声明。</w:t>
      </w:r>
      <w:r/>
    </w:p>
    <w:p>
      <w:pPr>
        <w:pStyle w:val="796"/>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          被授权人身份证号码：</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p>
    <w:p>
      <w:pPr>
        <w:pStyle w:val="796"/>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          被授权人联系电话：（手机）</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p>
    <w:p>
      <w:pPr>
        <w:pStyle w:val="796"/>
        <w:ind w:firstLine="720"/>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授权单位名称：</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（加盖CA电子公章）</w:t>
      </w:r>
      <w:r/>
    </w:p>
    <w:p>
      <w:pPr>
        <w:pStyle w:val="796"/>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     单位地址：</w:t>
      </w:r>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p>
    <w:p>
      <w:pPr>
        <w:pStyle w:val="796"/>
        <w:ind w:firstLine="480"/>
        <w:jc w:val="both"/>
        <w:spacing w:before="0" w:beforeAutospacing="0" w:after="0" w:afterAutospacing="0" w:line="480" w:lineRule="auto"/>
        <w:widowControl w:val="off"/>
        <w:tabs>
          <w:tab w:val="left" w:pos="360" w:leader="none"/>
        </w:tabs>
        <w:rPr>
          <w:color w:val="000000" w:themeColor="text1"/>
          <w:highlight w:val="none"/>
          <w:shd w:val="clear" w:color="auto" w:fill="auto"/>
          <w14:textFill>
            <w14:solidFill>
              <w14:schemeClr w14:val="tx1"/>
            </w14:solidFill>
          </w14:textFill>
        </w:rPr>
      </w:pPr>
      <w:r>
        <w:rPr>
          <w:rFonts w:ascii="Times New Roman" w:hAnsi="Times New Roman" w:cs="Times New Roman"/>
          <w:color w:val="000000" w:themeColor="text1"/>
          <w:highlight w:val="none"/>
          <w:shd w:val="clear" w:color="auto" w:fill="auto"/>
          <w14:textFill>
            <w14:solidFill>
              <w14:schemeClr w14:val="tx1"/>
            </w14:solidFill>
          </w14:textFill>
        </w:rPr>
        <w:t xml:space="preserve">     日期：</w:t>
      </w:r>
      <w:bookmarkStart w:id="148" w:name="_格式3__银行出具的资信证明"/>
      <w:r/>
      <w:bookmarkStart w:id="149" w:name="_Hlt26955070"/>
      <w:r/>
      <w:bookmarkStart w:id="150" w:name="_Hlt26671380"/>
      <w:r>
        <w:rPr>
          <w:rFonts w:ascii="Times New Roman" w:hAnsi="Times New Roman" w:cs="Times New Roman"/>
          <w:color w:val="000000" w:themeColor="text1"/>
          <w:highlight w:val="none"/>
          <w:u w:val="single"/>
          <w:shd w:val="clear" w:color="auto" w:fill="auto"/>
          <w14:textFill>
            <w14:solidFill>
              <w14:schemeClr w14:val="tx1"/>
            </w14:solidFill>
          </w14:textFill>
        </w:rPr>
        <w:t xml:space="preserve">                                         </w:t>
      </w:r>
      <w:r/>
    </w:p>
    <w:p>
      <w:pPr>
        <w:pStyle w:val="796"/>
        <w:ind w:firstLine="3390"/>
        <w:jc w:val="both"/>
        <w:keepLines/>
        <w:keepNext/>
        <w:spacing w:before="260" w:beforeAutospacing="0" w:after="260" w:afterAutospacing="0" w:line="415" w:lineRule="auto"/>
        <w:widowControl w:val="off"/>
        <w:rPr>
          <w:rFonts w:hint="eastAsia"/>
          <w:b/>
          <w:color w:val="000000" w:themeColor="text1"/>
          <w:highlight w:val="none"/>
          <w:shd w:val="clear" w:color="auto" w:fill="auto"/>
          <w14:textFill>
            <w14:solidFill>
              <w14:schemeClr w14:val="tx1"/>
            </w14:solidFill>
          </w14:textFill>
        </w:rPr>
      </w:pPr>
      <w:r>
        <w:rPr>
          <w:rFonts w:hint="eastAsia"/>
          <w:b/>
          <w:color w:val="000000" w:themeColor="text1"/>
          <w:highlight w:val="none"/>
          <w:shd w:val="clear" w:color="auto" w:fill="auto"/>
          <w14:textFill>
            <w14:solidFill>
              <w14:schemeClr w14:val="tx1"/>
            </w14:solidFill>
          </w14:textFill>
        </w:rPr>
      </w:r>
      <w:r/>
    </w:p>
    <w:p>
      <w:pPr>
        <w:rPr>
          <w:rFonts w:hint="eastAsia"/>
          <w:b/>
          <w:color w:val="000000" w:themeColor="text1"/>
          <w:highlight w:val="none"/>
          <w:shd w:val="clear" w:color="auto" w:fill="auto"/>
          <w14:textFill>
            <w14:solidFill>
              <w14:schemeClr w14:val="tx1"/>
            </w14:solidFill>
          </w14:textFill>
        </w:rPr>
      </w:pPr>
      <w:r>
        <w:rPr>
          <w:rFonts w:hint="eastAsia"/>
          <w:b/>
          <w:color w:val="000000" w:themeColor="text1"/>
          <w:highlight w:val="none"/>
          <w:shd w:val="clear" w:color="auto" w:fill="auto"/>
          <w14:textFill>
            <w14:solidFill>
              <w14:schemeClr w14:val="tx1"/>
            </w14:solidFill>
          </w14:textFill>
        </w:rPr>
        <w:br w:type="page" w:clear="all"/>
      </w:r>
      <w:r/>
    </w:p>
    <w:p>
      <w:pPr>
        <w:pStyle w:val="796"/>
        <w:ind w:firstLine="3390"/>
        <w:jc w:val="both"/>
        <w:keepLines/>
        <w:keepNext/>
        <w:spacing w:before="260" w:beforeAutospacing="0" w:after="260" w:afterAutospacing="0" w:line="415" w:lineRule="auto"/>
        <w:widowControl w:val="off"/>
        <w:rPr>
          <w:color w:val="000000" w:themeColor="text1"/>
          <w:highlight w:val="none"/>
          <w:shd w:val="clear" w:color="auto" w:fill="auto"/>
          <w14:textFill>
            <w14:solidFill>
              <w14:schemeClr w14:val="tx1"/>
            </w14:solidFill>
          </w14:textFill>
        </w:rPr>
      </w:pPr>
      <w:r>
        <w:rPr>
          <w:rFonts w:hint="eastAsia"/>
          <w:b/>
          <w:color w:val="000000" w:themeColor="text1"/>
          <w:highlight w:val="none"/>
          <w:shd w:val="clear" w:color="auto" w:fill="auto"/>
          <w14:textFill>
            <w14:solidFill>
              <w14:schemeClr w14:val="tx1"/>
            </w14:solidFill>
          </w14:textFill>
        </w:rPr>
        <w:t xml:space="preserve"> </w:t>
      </w:r>
      <w:r>
        <w:rPr>
          <w:rFonts w:hint="eastAsia" w:ascii="黑体" w:eastAsia="黑体" w:cs="黑体"/>
          <w:b/>
          <w:i/>
          <w:color w:val="000000" w:themeColor="text1"/>
          <w:sz w:val="32"/>
          <w:szCs w:val="32"/>
          <w:highlight w:val="none"/>
          <w:u w:val="single"/>
          <w:shd w:val="clear" w:color="auto" w:fill="auto"/>
          <w14:textFill>
            <w14:solidFill>
              <w14:schemeClr w14:val="tx1"/>
            </w14:solidFill>
          </w14:textFill>
        </w:rPr>
        <w:t xml:space="preserve">八、询价响应函</w:t>
      </w:r>
      <w:r/>
    </w:p>
    <w:p>
      <w:pPr>
        <w:pStyle w:val="796"/>
        <w:spacing w:before="0" w:beforeAutospacing="0" w:after="0" w:afterAutospacing="0" w:line="0" w:lineRule="atLeast"/>
        <w:widowControl w:val="off"/>
        <w:rPr>
          <w:rFonts w:hint="default" w:eastAsia="宋体"/>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致：</w:t>
      </w:r>
      <w:r>
        <w:rPr>
          <w:rFonts w:hint="eastAsia"/>
          <w:color w:val="000000" w:themeColor="text1"/>
          <w:highlight w:val="none"/>
          <w:u w:val="single"/>
          <w:shd w:val="clear" w:color="auto" w:fill="auto"/>
          <w:lang w:val="en-US" w:eastAsia="zh-CN"/>
          <w14:textFill>
            <w14:solidFill>
              <w14:schemeClr w14:val="tx1"/>
            </w14:solidFill>
          </w14:textFill>
        </w:rPr>
        <w:t xml:space="preserve">  盐城农业科技职业学院  </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根据</w:t>
      </w:r>
      <w:r>
        <w:rPr>
          <w:rFonts w:hint="eastAsia"/>
          <w:color w:val="000000" w:themeColor="text1"/>
          <w:sz w:val="24"/>
          <w:szCs w:val="24"/>
          <w:highlight w:val="none"/>
          <w:shd w:val="clear" w:color="auto" w:fill="auto"/>
          <w14:textFill>
            <w14:solidFill>
              <w14:schemeClr w14:val="tx1"/>
            </w14:solidFill>
          </w14:textFill>
        </w:rPr>
        <w:t xml:space="preserve">贵方的</w:t>
      </w:r>
      <w:r>
        <w:rPr>
          <w:rFonts w:hint="eastAsia"/>
          <w:b/>
          <w:color w:val="000000" w:themeColor="text1"/>
          <w:sz w:val="24"/>
          <w:szCs w:val="24"/>
          <w:highlight w:val="none"/>
          <w:u w:val="single"/>
          <w:shd w:val="clear" w:color="auto" w:fill="auto"/>
          <w14:textFill>
            <w14:solidFill>
              <w14:schemeClr w14:val="tx1"/>
            </w14:solidFill>
          </w14:textFill>
        </w:rPr>
        <w:t xml:space="preserve"> </w:t>
      </w:r>
      <w:r>
        <w:rPr>
          <w:rFonts w:hint="eastAsia"/>
          <w:b/>
          <w:color w:val="000000" w:themeColor="text1"/>
          <w:sz w:val="24"/>
          <w:szCs w:val="24"/>
          <w:highlight w:val="none"/>
          <w:u w:val="single"/>
          <w:shd w:val="clear" w:color="auto" w:fill="auto"/>
          <w:lang w:eastAsia="zh-CN"/>
          <w14:textFill>
            <w14:solidFill>
              <w14:schemeClr w14:val="tx1"/>
            </w14:solidFill>
          </w14:textFill>
        </w:rPr>
        <w:t xml:space="preserve">JSZC-320900-RHHH-X2025-0145</w:t>
      </w:r>
      <w:r>
        <w:rPr>
          <w:rFonts w:hint="eastAsia"/>
          <w:b/>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号询价文件，正式授权下述签字</w:t>
      </w:r>
      <w:r>
        <w:rPr>
          <w:rFonts w:hint="eastAsia"/>
          <w:color w:val="000000" w:themeColor="text1"/>
          <w:highlight w:val="none"/>
          <w:shd w:val="clear" w:color="auto" w:fill="auto"/>
          <w14:textFill>
            <w14:solidFill>
              <w14:schemeClr w14:val="tx1"/>
            </w14:solidFill>
          </w14:textFill>
        </w:rPr>
        <w:t xml:space="preserve">人______(姓名)代表我方______________（供应商的名称），全权处理本次项目询价的有关事宜。</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据此函，__________签字人兹宣布同意如下：</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1.按询价文件规定的各项要求，向买方提供所需货物、服务（包含与货物相关的服务及与服务相关的货物）。</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2.我们已详细审核全部询价文件及其有效补充文件，我们知道必须放弃提出含糊不清或误解问题的权利。</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3.我们同意从规定的开标日期起遵循本响应文件，并在规定的询价有效期期满之前均具有约束力。</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4.同意向贵方提供贵方可能另外要求的与询价有关的任何证据或资料，并保证我方已提供和将要提供的文件是真实的、准确的。</w:t>
      </w:r>
      <w:r/>
    </w:p>
    <w:p>
      <w:pPr>
        <w:pStyle w:val="796"/>
        <w:ind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5.一旦我方成交,我方将根据询价文件的规定，严格履行合同的责任和义务,并保证在询价文件规定的时间完成项目，交付买方验收、使用。</w:t>
      </w:r>
      <w:r/>
    </w:p>
    <w:p>
      <w:pPr>
        <w:pStyle w:val="796"/>
        <w:ind w:left="425"/>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6.我方与</w:t>
      </w:r>
      <w:r>
        <w:rPr>
          <w:rFonts w:hint="eastAsia"/>
          <w:color w:val="000000" w:themeColor="text1"/>
          <w:highlight w:val="none"/>
          <w:shd w:val="clear" w:color="auto" w:fill="auto"/>
          <w:lang w:eastAsia="zh-CN"/>
          <w14:textFill>
            <w14:solidFill>
              <w14:schemeClr w14:val="tx1"/>
            </w14:solidFill>
          </w14:textFill>
        </w:rPr>
        <w:t xml:space="preserve">本次</w:t>
      </w:r>
      <w:r>
        <w:rPr>
          <w:rFonts w:hint="eastAsia"/>
          <w:color w:val="000000" w:themeColor="text1"/>
          <w:highlight w:val="none"/>
          <w:shd w:val="clear" w:color="auto" w:fill="auto"/>
          <w14:textFill>
            <w14:solidFill>
              <w14:schemeClr w14:val="tx1"/>
            </w14:solidFill>
          </w14:textFill>
        </w:rPr>
        <w:t xml:space="preserve">询价有关的正式通讯地址为：</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地          址：</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邮          编：</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电          话：</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传          真：</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供应商开户行：</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账          号： </w:t>
      </w:r>
      <w:r/>
    </w:p>
    <w:p>
      <w:pPr>
        <w:pStyle w:val="796"/>
        <w:ind w:left="420" w:firstLine="480"/>
        <w:spacing w:before="0" w:beforeAutospacing="0" w:after="0" w:afterAutospacing="0" w:line="360" w:lineRule="auto"/>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日           期：________年____月____日</w:t>
      </w:r>
      <w:r>
        <w:rPr>
          <w:color w:val="000000" w:themeColor="text1"/>
          <w:highlight w:val="none"/>
          <w:shd w:val="clear" w:color="auto" w:fill="auto"/>
          <w14:textFill>
            <w14:solidFill>
              <w14:schemeClr w14:val="tx1"/>
            </w14:solidFill>
          </w14:textFill>
        </w:rPr>
        <w:t xml:space="preserve"> </w:t>
      </w:r>
      <w:r/>
    </w:p>
    <w:p>
      <w:pPr>
        <w:pStyle w:val="796"/>
        <w:ind w:firstLine="321"/>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r/>
    </w:p>
    <w:p>
      <w:pPr>
        <w:pStyle w:val="796"/>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)的规定，本公司（联合体）参加</w:t>
      </w:r>
      <w:r>
        <w:rPr>
          <w:rFonts w:hint="eastAsia"/>
          <w:color w:val="000000" w:themeColor="text1"/>
          <w:sz w:val="24"/>
          <w:highlight w:val="none"/>
          <w:lang w:eastAsia="zh-CN"/>
          <w14:textFill>
            <w14:solidFill>
              <w14:schemeClr w14:val="tx1"/>
            </w14:solidFill>
          </w14:textFill>
        </w:rPr>
        <w:t xml:space="preserve">采购代理机构</w:t>
      </w:r>
      <w:r>
        <w:rPr>
          <w:rFonts w:hint="eastAsia"/>
          <w:color w:val="000000" w:themeColor="text1"/>
          <w:sz w:val="24"/>
          <w:highlight w:val="none"/>
          <w14:textFill>
            <w14:solidFill>
              <w14:schemeClr w14:val="tx1"/>
            </w14:solidFill>
          </w14:textFill>
        </w:rPr>
        <w:t xml:space="preserve">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企业制造。相关企业（含联合体中</w:t>
      </w:r>
      <w:r>
        <w:rPr>
          <w:rFonts w:hint="eastAsia"/>
          <w:color w:val="000000" w:themeColor="text1"/>
          <w:sz w:val="24"/>
          <w:highlight w:val="none"/>
          <w:lang w:val="en-US" w:eastAsia="zh-CN"/>
          <w14:textFill>
            <w14:solidFill>
              <w14:schemeClr w14:val="tx1"/>
            </w14:solidFill>
          </w14:textFill>
        </w:rPr>
        <w:t xml:space="preserve">的中小</w:t>
      </w:r>
      <w:r>
        <w:rPr>
          <w:rFonts w:hint="eastAsia"/>
          <w:color w:val="000000" w:themeColor="text1"/>
          <w:sz w:val="24"/>
          <w:highlight w:val="none"/>
          <w14:textFill>
            <w14:solidFill>
              <w14:schemeClr w14:val="tx1"/>
            </w14:solidFill>
          </w14:textFill>
        </w:rPr>
        <w:t xml:space="preserve">企业、签订分包意向协议的</w:t>
      </w:r>
      <w:r>
        <w:rPr>
          <w:rFonts w:hint="eastAsia"/>
          <w:color w:val="000000" w:themeColor="text1"/>
          <w:sz w:val="24"/>
          <w:highlight w:val="none"/>
          <w:lang w:val="en-US" w:eastAsia="zh-CN"/>
          <w14:textFill>
            <w14:solidFill>
              <w14:schemeClr w14:val="tx1"/>
            </w14:solidFill>
          </w14:textFill>
        </w:rPr>
        <w:t xml:space="preserve">中</w:t>
      </w:r>
      <w:r>
        <w:rPr>
          <w:rFonts w:hint="eastAsia"/>
          <w:color w:val="000000" w:themeColor="text1"/>
          <w:sz w:val="24"/>
          <w:highlight w:val="none"/>
          <w14:textFill>
            <w14:solidFill>
              <w14:schemeClr w14:val="tx1"/>
            </w14:solidFill>
          </w14:textFill>
        </w:rPr>
        <w:t xml:space="preserve">小企业）的具体情况如下：</w:t>
      </w:r>
      <w:r/>
    </w:p>
    <w:p>
      <w:pPr>
        <w:pStyle w:val="79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9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9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79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96"/>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796"/>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96"/>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796"/>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796"/>
        <w:ind w:firstLine="24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96"/>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96"/>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ascii="黑体" w:eastAsia="黑体" w:cs="黑体"/>
          <w:b/>
          <w:color w:val="000000" w:themeColor="text1"/>
          <w:sz w:val="32"/>
          <w:szCs w:val="32"/>
          <w:highlight w:val="none"/>
          <w:shd w:val="clear" w:color="auto" w:fill="auto"/>
          <w14:textFill>
            <w14:solidFill>
              <w14:schemeClr w14:val="tx1"/>
            </w14:solidFill>
          </w14:textFill>
        </w:rPr>
        <w:br w:type="page" w:clear="all"/>
      </w:r>
      <w:r>
        <w:rPr>
          <w:rFonts w:hint="eastAsia" w:ascii="黑体" w:eastAsia="黑体" w:cs="黑体"/>
          <w:b/>
          <w:color w:val="000000" w:themeColor="text1"/>
          <w:sz w:val="32"/>
          <w:szCs w:val="32"/>
          <w:highlight w:val="none"/>
          <w:shd w:val="clear" w:color="auto" w:fill="auto"/>
          <w14:textFill>
            <w14:solidFill>
              <w14:schemeClr w14:val="tx1"/>
            </w14:solidFill>
          </w14:textFill>
        </w:rPr>
        <w:t xml:space="preserve"> 十、残疾人福利性单位声明函</w:t>
      </w:r>
      <w:r/>
    </w:p>
    <w:p>
      <w:pPr>
        <w:pStyle w:val="796"/>
        <w:ind w:firstLine="480"/>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shd w:val="clear" w:color="auto" w:fill="auto"/>
          <w:lang w:eastAsia="zh-CN"/>
          <w14:textFill>
            <w14:solidFill>
              <w14:schemeClr w14:val="tx1"/>
            </w14:solidFill>
          </w14:textFill>
        </w:rPr>
        <w:t xml:space="preserve">〔2017〕141号</w:t>
      </w:r>
      <w:r>
        <w:rPr>
          <w:rFonts w:hint="eastAsia"/>
          <w:color w:val="000000" w:themeColor="text1"/>
          <w:highlight w:val="none"/>
          <w:shd w:val="clear" w:color="auto" w:fill="auto"/>
          <w14:textFill>
            <w14:solidFill>
              <w14:schemeClr w14:val="tx1"/>
            </w14:solidFill>
          </w14:textFill>
        </w:rPr>
        <w:t xml:space="preserve">）的规定，本单位为符合条件的残疾人福利性单位，且本单位参加______单位的</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color w:val="000000" w:themeColor="text1"/>
          <w:highlight w:val="none"/>
          <w:shd w:val="clear" w:color="auto" w:fill="auto"/>
          <w14:textFill>
            <w14:solidFill>
              <w14:schemeClr w14:val="tx1"/>
            </w14:solidFill>
          </w14:textFill>
        </w:rPr>
        <w:t xml:space="preserve">文件编号为______的</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shd w:val="clear" w:color="auto" w:fill="auto"/>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796"/>
        <w:ind w:firstLine="480"/>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本单位对上述声明的真实性负责。如有虚假，将依法承担相应责任。</w:t>
      </w:r>
      <w:r/>
    </w:p>
    <w:p>
      <w:pPr>
        <w:pStyle w:val="796"/>
        <w:ind w:firstLine="480"/>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firstLine="480"/>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shd w:val="clear" w:color="auto" w:fill="auto"/>
          <w:lang w:eastAsia="zh-CN"/>
          <w14:textFill>
            <w14:solidFill>
              <w14:schemeClr w14:val="tx1"/>
            </w14:solidFill>
          </w14:textFill>
        </w:rPr>
        <w:t xml:space="preserve">（如项目全面面向中小企业，则资格审查不通过）</w:t>
      </w:r>
      <w:r>
        <w:rPr>
          <w:rFonts w:hint="eastAsia"/>
          <w:color w:val="000000" w:themeColor="text1"/>
          <w:highlight w:val="none"/>
          <w:shd w:val="clear" w:color="auto" w:fill="auto"/>
          <w14:textFill>
            <w14:solidFill>
              <w14:schemeClr w14:val="tx1"/>
            </w14:solidFill>
          </w14:textFill>
        </w:rPr>
        <w:t xml:space="preserve">。2、成交供应商为残疾人福利单位的，此声明函将随成交结果同时公告，接受社会监督</w:t>
      </w:r>
      <w:r/>
    </w:p>
    <w:p>
      <w:pPr>
        <w:pStyle w:val="796"/>
        <w:ind w:firstLine="624"/>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right="1560" w:firstLine="624"/>
        <w:jc w:val="center"/>
        <w:spacing w:before="0" w:beforeAutospacing="0" w:after="0" w:afterAutospacing="0" w:line="0" w:lineRule="atLeast"/>
        <w:widowControl w:val="off"/>
        <w:tabs>
          <w:tab w:val="left" w:pos="4864" w:leader="none"/>
        </w:tabs>
        <w:rPr>
          <w:color w:val="000000" w:themeColor="text1"/>
          <w:highlight w:val="none"/>
          <w:shd w:val="clear" w:color="auto" w:fill="auto"/>
          <w14:textFill>
            <w14:solidFill>
              <w14:schemeClr w14:val="tx1"/>
            </w14:solidFill>
          </w14:textFill>
        </w:rPr>
      </w:pPr>
      <w:r>
        <w:rPr>
          <w:rFonts w:ascii="仿宋_GB2312" w:eastAsia="仿宋_GB2312" w:cs="仿宋_GB2312"/>
          <w:color w:val="000000" w:themeColor="text1"/>
          <w:sz w:val="30"/>
          <w:szCs w:val="30"/>
          <w:highlight w:val="none"/>
          <w:shd w:val="clear" w:color="auto" w:fill="auto"/>
          <w14:textFill>
            <w14:solidFill>
              <w14:schemeClr w14:val="tx1"/>
            </w14:solidFill>
          </w14:textFill>
        </w:rPr>
        <w:t xml:space="preserve">             </w:t>
      </w:r>
      <w:r>
        <w:rPr>
          <w:rFonts w:hint="eastAsia"/>
          <w:color w:val="000000" w:themeColor="text1"/>
          <w:highlight w:val="none"/>
          <w:shd w:val="clear" w:color="auto" w:fill="auto"/>
          <w14:textFill>
            <w14:solidFill>
              <w14:schemeClr w14:val="tx1"/>
            </w14:solidFill>
          </w14:textFill>
        </w:rPr>
        <w:t xml:space="preserve">          供应商全称（加盖CA电子公章）：</w:t>
      </w:r>
      <w:r/>
    </w:p>
    <w:p>
      <w:pPr>
        <w:pStyle w:val="796"/>
        <w:ind w:right="1560" w:firstLine="480"/>
        <w:jc w:val="center"/>
        <w:spacing w:before="0" w:beforeAutospacing="0" w:after="0" w:afterAutospacing="0" w:line="0" w:lineRule="atLeast"/>
        <w:widowControl w:val="off"/>
        <w:tabs>
          <w:tab w:val="left" w:pos="4864" w:leader="none"/>
        </w:tabs>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        日  期：</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ascii="黑体" w:eastAsia="黑体" w:cs="黑体"/>
          <w:b/>
          <w:color w:val="000000" w:themeColor="text1"/>
          <w:sz w:val="32"/>
          <w:szCs w:val="32"/>
          <w:highlight w:val="none"/>
          <w:shd w:val="clear" w:color="auto" w:fill="auto"/>
          <w14:textFill>
            <w14:solidFill>
              <w14:schemeClr w14:val="tx1"/>
            </w14:solidFill>
          </w14:textFill>
        </w:rPr>
        <w:br w:type="page" w:clear="all"/>
      </w:r>
      <w:r>
        <w:rPr>
          <w:rFonts w:hint="eastAsia" w:ascii="黑体" w:eastAsia="黑体" w:cs="黑体"/>
          <w:b/>
          <w:color w:val="000000" w:themeColor="text1"/>
          <w:sz w:val="32"/>
          <w:szCs w:val="32"/>
          <w:highlight w:val="none"/>
          <w:shd w:val="clear" w:color="auto" w:fill="auto"/>
          <w14:textFill>
            <w14:solidFill>
              <w14:schemeClr w14:val="tx1"/>
            </w14:solidFill>
          </w14:textFill>
        </w:rPr>
        <w:t xml:space="preserve">十一、分项报价表（货物类）</w:t>
      </w:r>
      <w:r/>
    </w:p>
    <w:tbl>
      <w:tblPr>
        <w:tblStyle w:val="77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产品</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规格</w:t>
            </w:r>
            <w:r/>
          </w:p>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96"/>
              <w:jc w:val="center"/>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96"/>
              <w:jc w:val="both"/>
              <w:spacing w:before="0" w:beforeAutospacing="0" w:after="0" w:afterAutospacing="0" w:line="0" w:lineRule="atLeast"/>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bl>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rFonts w:hint="eastAsia" w:eastAsia="黑体"/>
          <w:color w:val="000000" w:themeColor="text1"/>
          <w:highlight w:val="none"/>
          <w:shd w:val="clear" w:color="auto" w:fill="auto"/>
          <w14:textFill>
            <w14:solidFill>
              <w14:schemeClr w14:val="tx1"/>
            </w14:solidFill>
          </w14:textFill>
        </w:rPr>
      </w:pPr>
      <w:r>
        <w:rPr>
          <w:rFonts w:hint="eastAsia" w:ascii="黑体" w:eastAsia="黑体" w:cs="黑体"/>
          <w:b/>
          <w:color w:val="000000" w:themeColor="text1"/>
          <w:sz w:val="32"/>
          <w:szCs w:val="32"/>
          <w:highlight w:val="none"/>
          <w:shd w:val="clear" w:color="auto" w:fill="auto"/>
          <w14:textFill>
            <w14:solidFill>
              <w14:schemeClr w14:val="tx1"/>
            </w14:solidFill>
          </w14:textFill>
        </w:rPr>
        <w:br w:type="page" w:clear="all"/>
      </w:r>
      <w:r>
        <w:rPr>
          <w:rFonts w:hint="eastAsia" w:ascii="黑体" w:eastAsia="黑体" w:cs="黑体"/>
          <w:b/>
          <w:color w:val="000000" w:themeColor="text1"/>
          <w:sz w:val="32"/>
          <w:szCs w:val="32"/>
          <w:highlight w:val="none"/>
          <w:shd w:val="clear" w:color="auto" w:fill="auto"/>
          <w14:textFill>
            <w14:solidFill>
              <w14:schemeClr w14:val="tx1"/>
            </w14:solidFill>
          </w14:textFill>
        </w:rPr>
        <w:t xml:space="preserve">十二、技术要求响应及偏离表</w:t>
      </w:r>
      <w:r/>
    </w:p>
    <w:tbl>
      <w:tblPr>
        <w:tblStyle w:val="7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证明</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bl>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注： 行数不够，可自行添加。</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rFonts w:hint="eastAsia" w:eastAsia="黑体"/>
          <w:color w:val="000000" w:themeColor="text1"/>
          <w:highlight w:val="none"/>
          <w:shd w:val="clear" w:color="auto" w:fill="auto"/>
          <w14:textFill>
            <w14:solidFill>
              <w14:schemeClr w14:val="tx1"/>
            </w14:solidFill>
          </w14:textFill>
        </w:rPr>
      </w:pPr>
      <w:r/>
      <w:bookmarkStart w:id="151" w:name="_Hlt26955054"/>
      <w:r>
        <w:rPr>
          <w:rFonts w:hint="eastAsia" w:ascii="黑体" w:eastAsia="黑体" w:cs="黑体"/>
          <w:b/>
          <w:color w:val="000000" w:themeColor="text1"/>
          <w:sz w:val="32"/>
          <w:szCs w:val="32"/>
          <w:highlight w:val="none"/>
          <w:shd w:val="clear" w:color="auto" w:fill="auto"/>
          <w14:textFill>
            <w14:solidFill>
              <w14:schemeClr w14:val="tx1"/>
            </w14:solidFill>
          </w14:textFill>
        </w:rPr>
        <w:br w:type="page" w:clear="all"/>
      </w:r>
      <w:r>
        <w:rPr>
          <w:rFonts w:hint="eastAsia" w:ascii="黑体" w:eastAsia="黑体" w:cs="黑体"/>
          <w:b/>
          <w:color w:val="000000" w:themeColor="text1"/>
          <w:sz w:val="32"/>
          <w:szCs w:val="32"/>
          <w:highlight w:val="none"/>
          <w:shd w:val="clear" w:color="auto" w:fill="auto"/>
          <w14:textFill>
            <w14:solidFill>
              <w14:schemeClr w14:val="tx1"/>
            </w14:solidFill>
          </w14:textFill>
        </w:rPr>
        <w:t xml:space="preserve">十</w:t>
      </w:r>
      <w:r>
        <w:rPr>
          <w:rFonts w:hint="eastAsia" w:ascii="黑体" w:eastAsia="黑体" w:cs="黑体"/>
          <w:b/>
          <w:color w:val="000000" w:themeColor="text1"/>
          <w:sz w:val="32"/>
          <w:szCs w:val="32"/>
          <w:highlight w:val="none"/>
          <w:shd w:val="clear" w:color="auto" w:fill="auto"/>
          <w:lang w:val="en-US" w:eastAsia="zh-CN"/>
          <w14:textFill>
            <w14:solidFill>
              <w14:schemeClr w14:val="tx1"/>
            </w14:solidFill>
          </w14:textFill>
        </w:rPr>
        <w:t xml:space="preserve">三</w:t>
      </w:r>
      <w:r>
        <w:rPr>
          <w:rFonts w:hint="eastAsia" w:ascii="黑体" w:eastAsia="黑体" w:cs="黑体"/>
          <w:b/>
          <w:color w:val="000000" w:themeColor="text1"/>
          <w:sz w:val="32"/>
          <w:szCs w:val="32"/>
          <w:highlight w:val="none"/>
          <w:shd w:val="clear" w:color="auto" w:fill="auto"/>
          <w14:textFill>
            <w14:solidFill>
              <w14:schemeClr w14:val="tx1"/>
            </w14:solidFill>
          </w14:textFill>
        </w:rPr>
        <w:t xml:space="preserve">、商务要求响应及偏离表</w:t>
      </w:r>
      <w:r/>
    </w:p>
    <w:tbl>
      <w:tblPr>
        <w:tblStyle w:val="7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bookmarkStart w:id="152" w:name="_Hlt26955056"/>
            <w:r/>
            <w:bookmarkStart w:id="153" w:name="_Hlt26580838"/>
            <w:r/>
            <w:bookmarkStart w:id="154" w:name="_Hlt26671343"/>
            <w:r/>
            <w:bookmarkStart w:id="155" w:name="_Hlt26955064"/>
            <w:r/>
            <w:bookmarkStart w:id="156" w:name="_Hlt26671372"/>
            <w:r/>
            <w:bookmarkStart w:id="157" w:name="_Hlt24879081"/>
            <w:r/>
            <w:bookmarkStart w:id="158" w:name="_Hlt26782999"/>
            <w:r/>
            <w:bookmarkStart w:id="159" w:name="_Hlt26609391"/>
            <w:r>
              <w:rPr>
                <w:rFonts w:hint="eastAsia"/>
                <w:color w:val="000000" w:themeColor="text1"/>
                <w:highlight w:val="none"/>
                <w:shd w:val="clear" w:color="auto" w:fill="auto"/>
                <w14:textFill>
                  <w14:solidFill>
                    <w14:schemeClr w14:val="tx1"/>
                  </w14:solidFill>
                </w14:textFill>
              </w:rPr>
              <w:t xml:space="preserve">序号</w:t>
            </w:r>
            <w:bookmarkEnd w:id="152"/>
            <w:r/>
            <w:bookmarkEnd w:id="153"/>
            <w:r/>
            <w:bookmarkEnd w:id="154"/>
            <w:r/>
            <w:bookmarkEnd w:id="155"/>
            <w:r/>
            <w:bookmarkEnd w:id="156"/>
            <w:r/>
            <w:bookmarkEnd w:id="157"/>
            <w:r/>
            <w:bookmarkEnd w:id="158"/>
            <w:r/>
            <w:bookmarkEnd w:id="15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证明</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c>
      </w:tr>
    </w:tbl>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注： 行数不够，可自行添加。</w:t>
      </w:r>
      <w:r/>
    </w:p>
    <w:p>
      <w:pPr>
        <w:pStyle w:val="796"/>
        <w:jc w:val="both"/>
        <w:spacing w:before="0" w:beforeAutospacing="0" w:after="0" w:afterAutospacing="0" w:line="480" w:lineRule="auto"/>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line="480" w:lineRule="auto"/>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bookmarkStart w:id="160" w:name="_Hlt26671374"/>
      <w:r/>
      <w:bookmarkStart w:id="161" w:name="_Toc462564146"/>
      <w:r/>
      <w:bookmarkStart w:id="162" w:name="_格式2__法定代表人授权书"/>
      <w:r/>
      <w:bookmarkStart w:id="163" w:name="_Hlt26609389"/>
      <w:r/>
      <w:bookmarkStart w:id="164" w:name="_Hlt26955066"/>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shd w:val="clear" w:color="auto" w:fill="auto"/>
          <w14:textFill>
            <w14:solidFill>
              <w14:schemeClr w14:val="tx1"/>
            </w14:solidFill>
          </w14:textFill>
        </w:rPr>
        <w:br w:type="page" w:clear="all"/>
      </w:r>
      <w:r>
        <w:rPr>
          <w:color w:val="000000" w:themeColor="text1"/>
          <w:highlight w:val="none"/>
          <w:shd w:val="clear" w:color="auto" w:fill="auto"/>
          <w14:textFill>
            <w14:solidFill>
              <w14:schemeClr w14:val="tx1"/>
            </w14:solidFill>
          </w14:textFill>
        </w:rPr>
        <w:t xml:space="preserve"> </w:t>
      </w:r>
      <w:r/>
    </w:p>
    <w:p>
      <w:pPr>
        <w:pStyle w:val="796"/>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、询价报价表</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项目编号： 项目编号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货币单位：人民币元</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2272"/>
        <w:gridCol w:w="2258"/>
        <w:gridCol w:w="168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26"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04"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报价项目品牌规格型号</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61"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52"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备注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26"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04"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61"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52"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tc>
      </w:tr>
      <w:tr>
        <w:trPr/>
        <w:tc>
          <w:tcPr>
            <w:gridSpan w:val="4"/>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42" w:type="dxa"/>
            <w:vAlign w:val="center"/>
            <w:textDirection w:val="lrTb"/>
            <w:noWrap w:val="false"/>
          </w:tcPr>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总价（大写）： 金额大写 </w:t>
            </w:r>
            <w:r/>
          </w:p>
        </w:tc>
      </w:tr>
    </w:tbl>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本次报价为总价，大小写不一致以大写为准。</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投标人公章：                               （电子签章）</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w:t>
      </w:r>
      <w:r/>
    </w:p>
    <w:p>
      <w:pPr>
        <w:ind w:left="0" w:right="0" w:firstLine="0"/>
        <w:spacing w:before="240" w:after="240"/>
        <w:rPr>
          <w:rFonts w:ascii="Arial" w:hAnsi="Arial" w:eastAsia="Arial" w:cs="Arial"/>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4"/>
          <w:szCs w:val="24"/>
          <w:highlight w:val="none"/>
        </w:rPr>
      </w:r>
      <w:r/>
    </w:p>
    <w:p>
      <w:pPr>
        <w:ind w:left="0" w:right="0" w:firstLine="0"/>
        <w:spacing w:before="240" w:after="240"/>
        <w:rPr>
          <w:rFonts w:ascii="Arial" w:hAnsi="Arial" w:eastAsia="Arial" w:cs="Arial"/>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4"/>
          <w:szCs w:val="24"/>
          <w:highlight w:val="none"/>
        </w:rPr>
      </w:r>
      <w:r/>
    </w:p>
    <w:p>
      <w:pPr>
        <w:ind w:left="0" w:right="0" w:firstLine="0"/>
        <w:spacing w:before="240" w:after="240"/>
        <w:rPr>
          <w:rFonts w:ascii="Arial" w:hAnsi="Arial" w:eastAsia="Arial" w:cs="Arial"/>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4"/>
          <w:szCs w:val="24"/>
          <w:highlight w:val="none"/>
        </w:rPr>
      </w:r>
      <w:r/>
    </w:p>
    <w:p>
      <w:pPr>
        <w:ind w:left="0" w:right="0" w:firstLine="0"/>
        <w:spacing w:before="240" w:after="240"/>
        <w:rPr>
          <w:rFonts w:ascii="Arial" w:hAnsi="Arial" w:eastAsia="Arial" w:cs="Arial"/>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4"/>
          <w:szCs w:val="24"/>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100" w:after="10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highlight w:val="none"/>
          <w:u w:val="single"/>
        </w:rPr>
        <w:t xml:space="preserve">核心产品品牌表</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投标人全称（加盖CA电子签章）：</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5438"/>
      </w:tblGrid>
      <w:tr>
        <w:trPr>
          <w:trHeight w:val="10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tc>
      </w:tr>
    </w:tbl>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ind w:left="0" w:right="0" w:firstLine="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p>
    <w:p>
      <w:pPr>
        <w:ind w:left="0" w:right="0" w:firstLine="0"/>
        <w:jc w:val="both"/>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pStyle w:val="796"/>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jc w:val="center"/>
        <w:spacing w:before="50" w:after="50"/>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color w:val="000000" w:themeColor="text1"/>
          <w:sz w:val="32"/>
          <w:szCs w:val="32"/>
          <w:highlight w:val="none"/>
          <w:shd w:val="clear" w:color="auto" w:fill="auto"/>
          <w14:textFill>
            <w14:solidFill>
              <w14:schemeClr w14:val="tx1"/>
            </w14:solidFill>
          </w14:textFill>
        </w:rPr>
        <w:br w:type="page" w:clear="all"/>
      </w:r>
      <w:r>
        <w:rPr>
          <w:rFonts w:hint="eastAsia" w:ascii="宋体" w:hAnsi="宋体" w:cs="宋体"/>
          <w:color w:val="000000" w:themeColor="text1"/>
          <w:sz w:val="32"/>
          <w:szCs w:val="32"/>
          <w:highlight w:val="none"/>
          <w:shd w:val="clear" w:color="auto" w:fill="auto"/>
          <w14:textFill>
            <w14:solidFill>
              <w14:schemeClr w14:val="tx1"/>
            </w14:solidFill>
          </w14:textFill>
        </w:rPr>
        <w:t xml:space="preserve">十</w:t>
      </w:r>
      <w:r>
        <w:rPr>
          <w:rFonts w:hint="eastAsia" w:ascii="宋体" w:hAnsi="宋体" w:cs="宋体"/>
          <w:color w:val="000000" w:themeColor="text1"/>
          <w:sz w:val="32"/>
          <w:szCs w:val="32"/>
          <w:highlight w:val="none"/>
          <w:shd w:val="clear" w:color="auto" w:fill="auto"/>
          <w:lang w:val="en-US" w:eastAsia="zh-CN"/>
          <w14:textFill>
            <w14:solidFill>
              <w14:schemeClr w14:val="tx1"/>
            </w14:solidFill>
          </w14:textFill>
        </w:rPr>
        <w:t xml:space="preserve">五</w:t>
      </w:r>
      <w:r>
        <w:rPr>
          <w:rFonts w:hint="eastAsia" w:ascii="宋体" w:hAnsi="宋体" w:cs="宋体"/>
          <w:color w:val="000000" w:themeColor="text1"/>
          <w:sz w:val="32"/>
          <w:szCs w:val="32"/>
          <w:highlight w:val="none"/>
          <w:shd w:val="clear" w:color="auto" w:fill="auto"/>
          <w14:textFill>
            <w14:solidFill>
              <w14:schemeClr w14:val="tx1"/>
            </w14:solidFill>
          </w14:textFill>
        </w:rPr>
        <w:t xml:space="preserve">、招标文件中规定要求提供的其他证明材料和投标人认为需要提供的其他材料</w:t>
      </w:r>
      <w:r/>
    </w:p>
    <w:p>
      <w:pPr>
        <w:pStyle w:val="796"/>
        <w:jc w:val="both"/>
        <w:spacing w:beforeAutospacing="0" w:afterAutospacing="0"/>
        <w:tabs>
          <w:tab w:val="left" w:pos="2160" w:leader="none"/>
        </w:tabs>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hint="eastAsia" w:ascii="宋体" w:hAnsi="宋体" w:cs="宋体"/>
          <w:color w:val="000000" w:themeColor="text1"/>
          <w:sz w:val="32"/>
          <w:szCs w:val="32"/>
          <w:highlight w:val="none"/>
          <w:shd w:val="clear" w:color="auto" w:fill="auto"/>
          <w14:textFill>
            <w14:solidFill>
              <w14:schemeClr w14:val="tx1"/>
            </w14:solidFill>
          </w14:textFill>
        </w:rPr>
      </w:pPr>
      <w:r>
        <w:rPr>
          <w:rFonts w:hint="eastAsia"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32"/>
          <w:szCs w:val="32"/>
          <w:highlight w:val="none"/>
          <w:shd w:val="clear" w:color="auto" w:fill="auto"/>
          <w14:textFill>
            <w14:solidFill>
              <w14:schemeClr w14:val="tx1"/>
            </w14:solidFill>
          </w14:textFill>
        </w:rPr>
      </w:pPr>
      <w:r>
        <w:rPr>
          <w:rFonts w:ascii="宋体" w:hAnsi="宋体" w:cs="宋体"/>
          <w:color w:val="000000" w:themeColor="text1"/>
          <w:sz w:val="32"/>
          <w:szCs w:val="32"/>
          <w:highlight w:val="none"/>
          <w:shd w:val="clear" w:color="auto" w:fill="auto"/>
          <w14:textFill>
            <w14:solidFill>
              <w14:schemeClr w14:val="tx1"/>
            </w14:solidFill>
          </w14:textFill>
        </w:rPr>
      </w:r>
      <w:r/>
    </w:p>
    <w:p>
      <w:pPr>
        <w:ind w:firstLine="1600"/>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32"/>
          <w:szCs w:val="32"/>
          <w:highlight w:val="none"/>
          <w:shd w:val="clear" w:color="auto" w:fill="auto"/>
          <w14:textFill>
            <w14:solidFill>
              <w14:schemeClr w14:val="tx1"/>
            </w14:solidFill>
          </w14:textFill>
        </w:rPr>
        <w:t xml:space="preserve">十</w:t>
      </w:r>
      <w:r>
        <w:rPr>
          <w:rFonts w:hint="eastAsia" w:ascii="宋体" w:hAnsi="宋体" w:cs="宋体"/>
          <w:b/>
          <w:bCs/>
          <w:color w:val="000000" w:themeColor="text1"/>
          <w:sz w:val="32"/>
          <w:szCs w:val="32"/>
          <w:highlight w:val="none"/>
          <w:shd w:val="clear" w:color="auto" w:fill="auto"/>
          <w:lang w:val="en-US" w:eastAsia="zh-CN"/>
          <w14:textFill>
            <w14:solidFill>
              <w14:schemeClr w14:val="tx1"/>
            </w14:solidFill>
          </w14:textFill>
        </w:rPr>
        <w:t xml:space="preserve">六</w:t>
      </w:r>
      <w:r>
        <w:rPr>
          <w:rFonts w:hint="eastAsia" w:ascii="宋体" w:hAnsi="宋体" w:cs="宋体"/>
          <w:b/>
          <w:bCs/>
          <w:color w:val="000000" w:themeColor="text1"/>
          <w:sz w:val="32"/>
          <w:szCs w:val="32"/>
          <w:highlight w:val="none"/>
          <w:shd w:val="clear" w:color="auto" w:fill="auto"/>
          <w14:textFill>
            <w14:solidFill>
              <w14:schemeClr w14:val="tx1"/>
            </w14:solidFill>
          </w14:textFill>
        </w:rPr>
        <w:t xml:space="preserve">、盐城市政府采购事前信用承诺书</w:t>
      </w:r>
      <w:r/>
    </w:p>
    <w:p>
      <w:pPr>
        <w:ind w:firstLine="480"/>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虚假成分</w:t>
      </w:r>
      <w:r>
        <w:rPr>
          <w:rFonts w:hint="eastAsia" w:ascii="宋体" w:hAnsi="宋体" w:cs="宋体"/>
          <w:color w:val="000000" w:themeColor="text1"/>
          <w:sz w:val="24"/>
          <w:highlight w:val="none"/>
          <w:shd w:val="clear" w:color="auto" w:fill="auto"/>
          <w14:textFill>
            <w14:solidFill>
              <w14:schemeClr w14:val="tx1"/>
            </w14:solidFill>
          </w14:textFill>
        </w:rPr>
        <w:t xml:space="preserve">，并对所提供资料的真实性负责；</w:t>
      </w:r>
      <w:r/>
    </w:p>
    <w:p>
      <w:pPr>
        <w:ind w:firstLine="480"/>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（四）严格遵守即时信息公示规定，及时</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维护和更新</w:t>
      </w:r>
      <w:r>
        <w:rPr>
          <w:rFonts w:hint="eastAsia" w:ascii="宋体" w:hAnsi="宋体" w:cs="宋体"/>
          <w:color w:val="000000" w:themeColor="text1"/>
          <w:sz w:val="24"/>
          <w:highlight w:val="none"/>
          <w:shd w:val="clear" w:color="auto" w:fill="auto"/>
          <w14:textFill>
            <w14:solidFill>
              <w14:schemeClr w14:val="tx1"/>
            </w14:solidFill>
          </w14:textFill>
        </w:rPr>
        <w:t xml:space="preserve">盐城市政府采购网中与本单位相关的信息；</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法定代表人签名：</w:t>
      </w:r>
      <w:r/>
    </w:p>
    <w:p>
      <w:pPr>
        <w:jc w:val="center"/>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单位名称（盖章）：</w:t>
      </w:r>
      <w:r/>
    </w:p>
    <w:p>
      <w:pPr>
        <w:jc w:val="center"/>
        <w:spacing w:line="499" w:lineRule="atLeast"/>
        <w:widowControl/>
        <w:rPr>
          <w:rFonts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                      年月日</w:t>
      </w:r>
      <w:r/>
    </w:p>
    <w:p>
      <w:pPr>
        <w:pStyle w:val="796"/>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center"/>
        <w:spacing w:beforeAutospacing="0" w:afterAutospacing="0"/>
        <w:rPr>
          <w:b/>
          <w:color w:val="000000" w:themeColor="text1"/>
          <w:sz w:val="32"/>
          <w:szCs w:val="32"/>
          <w:highlight w:val="none"/>
          <w:shd w:val="clear" w:color="auto" w:fill="auto"/>
          <w14:textFill>
            <w14:solidFill>
              <w14:schemeClr w14:val="tx1"/>
            </w14:solidFill>
          </w14:textFill>
        </w:rPr>
      </w:pPr>
      <w:r>
        <w:rPr>
          <w:rFonts w:hint="eastAsia"/>
          <w:b/>
          <w:color w:val="000000" w:themeColor="text1"/>
          <w:sz w:val="32"/>
          <w:szCs w:val="32"/>
          <w:highlight w:val="none"/>
          <w:shd w:val="clear" w:color="auto" w:fill="auto"/>
          <w14:textFill>
            <w14:solidFill>
              <w14:schemeClr w14:val="tx1"/>
            </w14:solidFill>
          </w14:textFill>
        </w:rPr>
        <w:t xml:space="preserve">质疑函范本</w:t>
      </w:r>
      <w:r/>
    </w:p>
    <w:p>
      <w:pPr>
        <w:pStyle w:val="796"/>
        <w:jc w:val="both"/>
        <w:spacing w:before="290"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一、质疑供应商基本信息</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质疑供应商：</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u w:val="singl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地址：</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邮编：</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u w:val="singl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联系人：</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联系电话：</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授权代表：</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联系电话：</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u w:val="singl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地址： </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邮编：</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二、质疑项目基本情况</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质疑项目的名称：</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u w:val="singl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质疑项目的编号：</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包号：</w:t>
      </w:r>
      <w:r>
        <w:rPr>
          <w:rFonts w:hint="eastAsia"/>
          <w:color w:val="000000" w:themeColor="text1"/>
          <w:highlight w:val="none"/>
          <w:u w:val="single"/>
          <w:shd w:val="clear" w:color="auto" w:fill="auto"/>
          <w14:textFill>
            <w14:solidFill>
              <w14:schemeClr w14:val="tx1"/>
            </w14:solidFill>
          </w14:textFill>
        </w:rPr>
        <w:t xml:space="preserve">                       </w:t>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ab/>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采购人名称：</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询价</w:t>
      </w:r>
      <w:r>
        <w:rPr>
          <w:rFonts w:hint="eastAsia"/>
          <w:color w:val="000000" w:themeColor="text1"/>
          <w:highlight w:val="none"/>
          <w:shd w:val="clear" w:color="auto" w:fill="auto"/>
          <w14:textFill>
            <w14:solidFill>
              <w14:schemeClr w14:val="tx1"/>
            </w14:solidFill>
          </w14:textFill>
        </w:rPr>
        <w:t xml:space="preserve">文件获取日期：</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三、质疑事项具体内容</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质疑事项1：</w:t>
      </w:r>
      <w:r>
        <w:rPr>
          <w:rFonts w:hint="eastAsia"/>
          <w:color w:val="000000" w:themeColor="text1"/>
          <w:highlight w:val="none"/>
          <w:u w:val="single"/>
          <w:shd w:val="clear" w:color="auto" w:fill="auto"/>
          <w14:textFill>
            <w14:solidFill>
              <w14:schemeClr w14:val="tx1"/>
            </w14:solidFill>
          </w14:textFill>
        </w:rPr>
        <w:t xml:space="preserve">                             </w:t>
      </w:r>
      <w:r/>
    </w:p>
    <w:p>
      <w:pPr>
        <w:pStyle w:val="796"/>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事实依据：</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法律依据：</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质疑事项2</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四、与质疑事项相关的质疑请求</w:t>
      </w:r>
      <w:r/>
    </w:p>
    <w:p>
      <w:pPr>
        <w:pStyle w:val="796"/>
        <w:jc w:val="both"/>
        <w:spacing w:beforeAutospacing="0" w:afterAutospacing="0"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请求：</w:t>
      </w:r>
      <w:r>
        <w:rPr>
          <w:rFonts w:hint="eastAsia"/>
          <w:color w:val="000000" w:themeColor="text1"/>
          <w:highlight w:val="none"/>
          <w:u w:val="single"/>
          <w:shd w:val="clear" w:color="auto" w:fill="auto"/>
          <w14:textFill>
            <w14:solidFill>
              <w14:schemeClr w14:val="tx1"/>
            </w14:solidFill>
          </w14:textFill>
        </w:rPr>
        <w:t xml:space="preserve">                                                          </w:t>
      </w:r>
      <w:r/>
    </w:p>
    <w:p>
      <w:pPr>
        <w:pStyle w:val="796"/>
        <w:jc w:val="both"/>
        <w:spacing w:beforeAutospacing="0" w:afterAutospacing="0"/>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签字(签章)：                 公章：               日期：    </w:t>
      </w:r>
      <w:r/>
    </w:p>
    <w:p>
      <w:pPr>
        <w:pStyle w:val="796"/>
        <w:jc w:val="both"/>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b/>
          <w:color w:val="000000" w:themeColor="text1"/>
          <w:highlight w:val="none"/>
          <w:shd w:val="clear" w:color="auto" w:fill="auto"/>
          <w14:textFill>
            <w14:solidFill>
              <w14:schemeClr w14:val="tx1"/>
            </w14:solidFill>
          </w14:textFill>
        </w:rPr>
        <w:t xml:space="preserve">质疑函制作说明：</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1.供应商提出质疑时，应提交质疑函和必要的证明材料。</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3.质疑供应商若对项目的某一分包进行质疑，质疑函中应列明具体分包号。</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4.质疑函的质疑事项应具体、明确，并有必要的事实依据和法律依据。</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5.质疑函的质疑请求应与质疑事项相关。</w:t>
      </w:r>
      <w:r/>
    </w:p>
    <w:p>
      <w:pPr>
        <w:pStyle w:val="796"/>
        <w:ind w:firstLine="480"/>
        <w:spacing w:beforeAutospacing="0" w:afterAutospacing="0" w:line="0" w:lineRule="atLeas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96"/>
        <w:ind w:firstLine="420"/>
        <w:jc w:val="both"/>
        <w:spacing w:beforeAutospacing="0" w:afterAutospacing="0"/>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 </w:t>
      </w:r>
      <w:r/>
    </w:p>
    <w:p>
      <w:pPr>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796"/>
        <w:jc w:val="center"/>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796"/>
        <w:ind w:firstLine="420"/>
        <w:jc w:val="both"/>
        <w:spacing w:before="0" w:beforeAutospacing="0" w:after="0" w:afterAutospacing="0"/>
        <w:widowControl w:val="off"/>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bookmarkEnd w:id="144"/>
      <w:r/>
      <w:bookmarkEnd w:id="145"/>
      <w:r/>
      <w:bookmarkEnd w:id="146"/>
      <w:r/>
      <w:bookmarkEnd w:id="147"/>
      <w:r/>
      <w:bookmarkEnd w:id="148"/>
      <w:r/>
      <w:bookmarkEnd w:id="149"/>
      <w:r/>
      <w:bookmarkEnd w:id="150"/>
      <w:r/>
      <w:bookmarkEnd w:id="151"/>
      <w:r/>
      <w:bookmarkEnd w:id="160"/>
      <w:r/>
      <w:bookmarkEnd w:id="161"/>
      <w:r/>
      <w:bookmarkEnd w:id="162"/>
      <w:r/>
      <w:bookmarkEnd w:id="163"/>
      <w:r/>
      <w:bookmarkEnd w:id="16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1"/>
      <w:footerReference w:type="even" r:id="rId12"/>
      <w:footerReference w:type="first" r:id="rId13"/>
      <w:footnotePr/>
      <w:endnotePr/>
      <w:type w:val="nextPage"/>
      <w:pgSz w:w="11907" w:h="16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rPr>
        <w:rFonts w:hint="eastAsia"/>
        <w:sz w:val="24"/>
      </w:rPr>
    </w:pPr>
    <w:r>
      <w:rPr>
        <w:rFonts w:hint="eastAsia"/>
        <w:sz w:val="24"/>
      </w:rPr>
      <w:t xml:space="preserve">本询价函共6页，第</w:t>
    </w:r>
    <w:r>
      <w:rPr>
        <w:sz w:val="24"/>
      </w:rPr>
      <w:fldChar w:fldCharType="begin"/>
    </w:r>
    <w:r>
      <w:rPr>
        <w:rStyle w:val="801"/>
        <w:sz w:val="24"/>
      </w:rPr>
      <w:instrText xml:space="preserve"> PAGE </w:instrText>
    </w:r>
    <w:r>
      <w:rPr>
        <w:sz w:val="24"/>
      </w:rPr>
      <w:fldChar w:fldCharType="separate"/>
    </w:r>
    <w:r>
      <w:rPr>
        <w:rStyle w:val="801"/>
        <w:sz w:val="24"/>
      </w:rPr>
      <w:t xml:space="preserve">6</w:t>
    </w:r>
    <w:r>
      <w:rPr>
        <w:sz w:val="24"/>
      </w:rPr>
      <w:fldChar w:fldCharType="end"/>
    </w:r>
    <w:r>
      <w:rPr>
        <w:rFonts w:hint="eastAsia"/>
        <w:sz w:val="24"/>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left" w:pos="2936" w:leader="none"/>
        <w:tab w:val="clear" w:pos="4153" w:leader="none"/>
        <w:tab w:val="clear" w:pos="8306" w:leader="none"/>
      </w:tabs>
      <w:rPr>
        <w:rFonts w:hint="eastAsia"/>
        <w:sz w:val="24"/>
      </w:rPr>
    </w:pPr>
    <w:r>
      <w:rPr>
        <w:rFonts w:hint="eastAsia"/>
        <w:sz w:val="24"/>
      </w:rPr>
      <w:t xml:space="preserve">本询价函共5页，第</w:t>
    </w:r>
    <w:r>
      <w:rPr>
        <w:sz w:val="24"/>
      </w:rPr>
      <w:fldChar w:fldCharType="begin"/>
    </w:r>
    <w:r>
      <w:rPr>
        <w:rStyle w:val="801"/>
        <w:sz w:val="24"/>
      </w:rPr>
      <w:instrText xml:space="preserve"> PAGE </w:instrText>
    </w:r>
    <w:r>
      <w:rPr>
        <w:sz w:val="24"/>
      </w:rPr>
      <w:fldChar w:fldCharType="separate"/>
    </w:r>
    <w:r>
      <w:rPr>
        <w:rStyle w:val="801"/>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lvlOverride w:ilvl="0">
      <w:startOverride w:val="2"/>
    </w:lvlOverride>
  </w:num>
  <w:num w:numId="5">
    <w:abstractNumId w:val="4"/>
    <w:lvlOverride w:ilvl="0">
      <w:startOverride w:val="6"/>
    </w:lvlOverride>
  </w:num>
  <w:num w:numId="6">
    <w:abstractNumId w:val="7"/>
    <w:lvlOverride w:ilvl="0">
      <w:startOverride w:val="16"/>
    </w:lvlOverride>
  </w:num>
  <w:num w:numId="7">
    <w:abstractNumId w:val="0"/>
    <w:lvlOverride w:ilvl="0">
      <w:startOverride w:val="23"/>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953"/>
    <w:uiPriority w:val="0"/>
    <w:qFormat/>
    <w:pPr>
      <w:keepLines/>
      <w:keepNext/>
      <w:spacing w:before="340" w:after="330" w:line="578" w:lineRule="auto"/>
      <w:outlineLvl w:val="0"/>
    </w:pPr>
    <w:rPr>
      <w:rFonts w:eastAsia="黑体"/>
      <w:b/>
      <w:bCs/>
      <w:sz w:val="36"/>
      <w:szCs w:val="44"/>
    </w:rPr>
  </w:style>
  <w:style w:type="paragraph" w:styleId="764">
    <w:name w:val="Heading 2"/>
    <w:basedOn w:val="762"/>
    <w:next w:val="762"/>
    <w:link w:val="954"/>
    <w:uiPriority w:val="0"/>
    <w:qFormat/>
    <w:pPr>
      <w:keepLines/>
      <w:keepNext/>
      <w:spacing w:before="260" w:after="260" w:line="416" w:lineRule="auto"/>
      <w:outlineLvl w:val="1"/>
    </w:pPr>
    <w:rPr>
      <w:rFonts w:ascii="Cambria" w:hAnsi="Cambria"/>
      <w:b/>
      <w:bCs/>
      <w:sz w:val="32"/>
      <w:szCs w:val="32"/>
    </w:rPr>
  </w:style>
  <w:style w:type="paragraph" w:styleId="765">
    <w:name w:val="Heading 3"/>
    <w:basedOn w:val="762"/>
    <w:next w:val="774"/>
    <w:link w:val="955"/>
    <w:uiPriority w:val="0"/>
    <w:qFormat/>
    <w:pPr>
      <w:keepLines/>
      <w:keepNext/>
      <w:spacing w:before="260" w:after="260" w:line="416" w:lineRule="auto"/>
      <w:outlineLvl w:val="2"/>
    </w:pPr>
    <w:rPr>
      <w:b/>
      <w:bCs/>
      <w:sz w:val="32"/>
      <w:szCs w:val="32"/>
    </w:rPr>
  </w:style>
  <w:style w:type="paragraph" w:styleId="766">
    <w:name w:val="Heading 4"/>
    <w:basedOn w:val="762"/>
    <w:next w:val="762"/>
    <w:link w:val="957"/>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767">
    <w:name w:val="Heading 5"/>
    <w:basedOn w:val="762"/>
    <w:next w:val="762"/>
    <w:link w:val="809"/>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0"/>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3"/>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0"/>
    <w:semiHidden/>
    <w:qFormat/>
  </w:style>
  <w:style w:type="table" w:styleId="773" w:default="1">
    <w:name w:val="Normal Table"/>
    <w:uiPriority w:val="0"/>
    <w:semiHidden/>
    <w:qFormat/>
    <w:tblPr>
      <w:tblCellMar>
        <w:left w:w="108" w:type="dxa"/>
        <w:top w:w="0" w:type="dxa"/>
        <w:right w:w="108" w:type="dxa"/>
        <w:bottom w:w="0" w:type="dxa"/>
      </w:tblCellMar>
    </w:tblPr>
  </w:style>
  <w:style w:type="paragraph" w:styleId="774">
    <w:name w:val="Normal Indent"/>
    <w:basedOn w:val="762"/>
    <w:link w:val="956"/>
    <w:uiPriority w:val="0"/>
    <w:qFormat/>
    <w:pPr>
      <w:ind w:firstLine="420"/>
    </w:pPr>
    <w:rPr>
      <w:szCs w:val="21"/>
    </w:rPr>
  </w:style>
  <w:style w:type="paragraph" w:styleId="775">
    <w:name w:val="toc 7"/>
    <w:basedOn w:val="762"/>
    <w:next w:val="762"/>
    <w:uiPriority w:val="39"/>
    <w:unhideWhenUsed/>
    <w:qFormat/>
    <w:pPr>
      <w:ind w:left="1701" w:right="0" w:firstLine="0"/>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uiPriority w:val="0"/>
    <w:qFormat/>
    <w:pPr>
      <w:jc w:val="left"/>
    </w:pPr>
  </w:style>
  <w:style w:type="paragraph" w:styleId="778">
    <w:name w:val="Body Text"/>
    <w:basedOn w:val="762"/>
    <w:next w:val="762"/>
    <w:uiPriority w:val="0"/>
    <w:unhideWhenUsed/>
    <w:qFormat/>
    <w:pPr>
      <w:spacing w:after="120"/>
    </w:pPr>
    <w:rPr>
      <w:rFonts w:ascii="Calibri" w:hAnsi="Calibri"/>
      <w:szCs w:val="22"/>
    </w:rPr>
  </w:style>
  <w:style w:type="paragraph" w:styleId="779">
    <w:name w:val="toc 5"/>
    <w:basedOn w:val="762"/>
    <w:next w:val="762"/>
    <w:uiPriority w:val="39"/>
    <w:unhideWhenUsed/>
    <w:qFormat/>
    <w:pPr>
      <w:ind w:left="1134" w:right="0" w:firstLine="0"/>
      <w:spacing w:after="57"/>
    </w:pPr>
  </w:style>
  <w:style w:type="paragraph" w:styleId="780">
    <w:name w:val="toc 3"/>
    <w:basedOn w:val="762"/>
    <w:next w:val="762"/>
    <w:uiPriority w:val="39"/>
    <w:unhideWhenUsed/>
    <w:qFormat/>
    <w:pPr>
      <w:ind w:left="567" w:right="0" w:firstLine="0"/>
      <w:spacing w:after="57"/>
    </w:pPr>
  </w:style>
  <w:style w:type="paragraph" w:styleId="781">
    <w:name w:val="Plain Text"/>
    <w:basedOn w:val="762"/>
    <w:link w:val="958"/>
    <w:uiPriority w:val="0"/>
    <w:qFormat/>
    <w:rPr>
      <w:rFonts w:ascii="宋体" w:hAnsi="Courier New"/>
      <w:szCs w:val="20"/>
    </w:rPr>
  </w:style>
  <w:style w:type="paragraph" w:styleId="782">
    <w:name w:val="toc 8"/>
    <w:basedOn w:val="762"/>
    <w:next w:val="762"/>
    <w:uiPriority w:val="39"/>
    <w:unhideWhenUsed/>
    <w:qFormat/>
    <w:pPr>
      <w:ind w:left="1984" w:right="0" w:firstLine="0"/>
      <w:spacing w:after="57"/>
    </w:pPr>
  </w:style>
  <w:style w:type="paragraph" w:styleId="783">
    <w:name w:val="Date"/>
    <w:basedOn w:val="762"/>
    <w:next w:val="762"/>
    <w:uiPriority w:val="0"/>
    <w:qFormat/>
    <w:rPr>
      <w:rFonts w:ascii="宋体" w:eastAsia="黑体"/>
      <w:spacing w:val="10"/>
      <w:position w:val="2"/>
      <w:sz w:val="30"/>
    </w:rPr>
  </w:style>
  <w:style w:type="paragraph" w:styleId="784">
    <w:name w:val="endnote text"/>
    <w:basedOn w:val="762"/>
    <w:link w:val="951"/>
    <w:uiPriority w:val="99"/>
    <w:semiHidden/>
    <w:unhideWhenUsed/>
    <w:qFormat/>
    <w:pPr>
      <w:spacing w:after="0" w:line="240" w:lineRule="auto"/>
    </w:pPr>
    <w:rPr>
      <w:sz w:val="20"/>
    </w:rPr>
  </w:style>
  <w:style w:type="paragraph" w:styleId="785">
    <w:name w:val="Balloon Text"/>
    <w:basedOn w:val="762"/>
    <w:uiPriority w:val="0"/>
    <w:semiHidden/>
    <w:qFormat/>
    <w:rPr>
      <w:sz w:val="18"/>
      <w:szCs w:val="18"/>
    </w:rPr>
  </w:style>
  <w:style w:type="paragraph" w:styleId="786">
    <w:name w:val="Footer"/>
    <w:basedOn w:val="762"/>
    <w:link w:val="959"/>
    <w:uiPriority w:val="99"/>
    <w:qFormat/>
    <w:pPr>
      <w:jc w:val="left"/>
      <w:tabs>
        <w:tab w:val="center" w:pos="4153" w:leader="none"/>
        <w:tab w:val="right" w:pos="8306" w:leader="none"/>
      </w:tabs>
    </w:pPr>
    <w:rPr>
      <w:sz w:val="18"/>
      <w:szCs w:val="20"/>
    </w:rPr>
  </w:style>
  <w:style w:type="paragraph" w:styleId="787">
    <w:name w:val="Header"/>
    <w:basedOn w:val="762"/>
    <w:link w:val="960"/>
    <w:uiPriority w:val="0"/>
    <w:qFormat/>
    <w:pPr>
      <w:jc w:val="center"/>
      <w:tabs>
        <w:tab w:val="center" w:pos="4153" w:leader="none"/>
        <w:tab w:val="right" w:pos="8306" w:leader="none"/>
      </w:tabs>
      <w:pBdr>
        <w:bottom w:val="single" w:color="auto" w:sz="6" w:space="1"/>
      </w:pBdr>
    </w:pPr>
    <w:rPr>
      <w:sz w:val="18"/>
      <w:szCs w:val="18"/>
    </w:rPr>
  </w:style>
  <w:style w:type="paragraph" w:styleId="788">
    <w:name w:val="toc 1"/>
    <w:basedOn w:val="762"/>
    <w:next w:val="762"/>
    <w:uiPriority w:val="39"/>
    <w:unhideWhenUsed/>
    <w:qFormat/>
    <w:pPr>
      <w:ind w:left="0" w:right="0" w:firstLine="0"/>
      <w:spacing w:after="57"/>
    </w:pPr>
  </w:style>
  <w:style w:type="paragraph" w:styleId="789">
    <w:name w:val="toc 4"/>
    <w:basedOn w:val="762"/>
    <w:next w:val="762"/>
    <w:uiPriority w:val="39"/>
    <w:unhideWhenUsed/>
    <w:qFormat/>
    <w:pPr>
      <w:ind w:left="850" w:right="0" w:firstLine="0"/>
      <w:spacing w:after="57"/>
    </w:pPr>
  </w:style>
  <w:style w:type="paragraph" w:styleId="790">
    <w:name w:val="Subtitle"/>
    <w:basedOn w:val="762"/>
    <w:next w:val="762"/>
    <w:link w:val="817"/>
    <w:uiPriority w:val="11"/>
    <w:qFormat/>
    <w:pPr>
      <w:spacing w:before="200" w:after="200"/>
    </w:pPr>
    <w:rPr>
      <w:sz w:val="24"/>
      <w:szCs w:val="24"/>
    </w:rPr>
  </w:style>
  <w:style w:type="paragraph" w:styleId="791">
    <w:name w:val="footnote text"/>
    <w:basedOn w:val="762"/>
    <w:link w:val="950"/>
    <w:uiPriority w:val="99"/>
    <w:semiHidden/>
    <w:unhideWhenUsed/>
    <w:qFormat/>
    <w:pPr>
      <w:spacing w:after="40" w:line="240" w:lineRule="auto"/>
    </w:pPr>
    <w:rPr>
      <w:sz w:val="18"/>
    </w:rPr>
  </w:style>
  <w:style w:type="paragraph" w:styleId="792">
    <w:name w:val="toc 6"/>
    <w:basedOn w:val="762"/>
    <w:next w:val="762"/>
    <w:uiPriority w:val="39"/>
    <w:unhideWhenUsed/>
    <w:qFormat/>
    <w:pPr>
      <w:ind w:left="1417" w:right="0" w:firstLine="0"/>
      <w:spacing w:after="57"/>
    </w:pPr>
  </w:style>
  <w:style w:type="paragraph" w:styleId="793">
    <w:name w:val="table of figures"/>
    <w:basedOn w:val="762"/>
    <w:next w:val="762"/>
    <w:uiPriority w:val="99"/>
    <w:unhideWhenUsed/>
    <w:qFormat/>
    <w:pPr>
      <w:spacing w:after="0" w:afterAutospacing="0"/>
    </w:pPr>
  </w:style>
  <w:style w:type="paragraph" w:styleId="794">
    <w:name w:val="toc 2"/>
    <w:basedOn w:val="762"/>
    <w:next w:val="762"/>
    <w:uiPriority w:val="39"/>
    <w:unhideWhenUsed/>
    <w:qFormat/>
    <w:pPr>
      <w:ind w:left="283" w:right="0" w:firstLine="0"/>
      <w:spacing w:after="57"/>
    </w:pPr>
  </w:style>
  <w:style w:type="paragraph" w:styleId="795">
    <w:name w:val="toc 9"/>
    <w:basedOn w:val="762"/>
    <w:next w:val="762"/>
    <w:uiPriority w:val="39"/>
    <w:unhideWhenUsed/>
    <w:qFormat/>
    <w:pPr>
      <w:ind w:left="2268" w:right="0" w:firstLine="0"/>
      <w:spacing w:after="57"/>
    </w:pPr>
  </w:style>
  <w:style w:type="paragraph" w:styleId="796">
    <w:name w:val="Normal (Web)"/>
    <w:basedOn w:val="762"/>
    <w:uiPriority w:val="0"/>
    <w:qFormat/>
    <w:pPr>
      <w:jc w:val="left"/>
      <w:spacing w:before="100" w:beforeAutospacing="1" w:after="100" w:afterAutospacing="1"/>
      <w:widowControl/>
    </w:pPr>
    <w:rPr>
      <w:rFonts w:ascii="宋体" w:hAnsi="宋体" w:cs="宋体"/>
      <w:sz w:val="24"/>
    </w:rPr>
  </w:style>
  <w:style w:type="paragraph" w:styleId="797">
    <w:name w:val="Title"/>
    <w:basedOn w:val="762"/>
    <w:next w:val="762"/>
    <w:link w:val="816"/>
    <w:uiPriority w:val="10"/>
    <w:qFormat/>
    <w:pPr>
      <w:contextualSpacing/>
      <w:spacing w:before="300" w:after="200"/>
    </w:pPr>
    <w:rPr>
      <w:sz w:val="48"/>
      <w:szCs w:val="48"/>
    </w:rPr>
  </w:style>
  <w:style w:type="table" w:styleId="798">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basedOn w:val="772"/>
    <w:uiPriority w:val="99"/>
    <w:semiHidden/>
    <w:unhideWhenUsed/>
    <w:qFormat/>
    <w:rPr>
      <w:vertAlign w:val="superscript"/>
    </w:rPr>
  </w:style>
  <w:style w:type="character" w:styleId="801">
    <w:name w:val="page number"/>
    <w:uiPriority w:val="0"/>
    <w:qFormat/>
  </w:style>
  <w:style w:type="character" w:styleId="802">
    <w:name w:val="Hyperlink"/>
    <w:uiPriority w:val="0"/>
    <w:qFormat/>
    <w:rPr>
      <w:color w:val="0000ff"/>
      <w:u w:val="single"/>
    </w:rPr>
  </w:style>
  <w:style w:type="character" w:styleId="803">
    <w:name w:val="footnote reference"/>
    <w:basedOn w:val="772"/>
    <w:uiPriority w:val="99"/>
    <w:unhideWhenUsed/>
    <w:qFormat/>
    <w:rPr>
      <w:vertAlign w:val="superscript"/>
    </w:rPr>
  </w:style>
  <w:style w:type="paragraph" w:styleId="804" w:customStyle="1">
    <w:name w:val="Default"/>
    <w:basedOn w:val="762"/>
    <w:uiPriority w:val="0"/>
    <w:semiHidden/>
    <w:qFormat/>
    <w:pPr>
      <w:jc w:val="left"/>
    </w:pPr>
    <w:rPr>
      <w:rFonts w:ascii="宋体" w:hAnsi="Calibri" w:cs="宋体"/>
      <w:color w:val="000000"/>
      <w:sz w:val="24"/>
    </w:rPr>
  </w:style>
  <w:style w:type="character" w:styleId="805" w:customStyle="1">
    <w:name w:val="Heading 1 Char"/>
    <w:basedOn w:val="772"/>
    <w:uiPriority w:val="9"/>
    <w:qFormat/>
    <w:rPr>
      <w:rFonts w:ascii="Arial" w:hAnsi="Arial" w:eastAsia="Arial" w:cs="Arial"/>
      <w:sz w:val="40"/>
      <w:szCs w:val="40"/>
    </w:rPr>
  </w:style>
  <w:style w:type="character" w:styleId="806" w:customStyle="1">
    <w:name w:val="Heading 2 Char"/>
    <w:basedOn w:val="772"/>
    <w:uiPriority w:val="9"/>
    <w:rPr>
      <w:rFonts w:ascii="Arial" w:hAnsi="Arial" w:eastAsia="Arial" w:cs="Arial"/>
      <w:sz w:val="34"/>
    </w:rPr>
  </w:style>
  <w:style w:type="character" w:styleId="807" w:customStyle="1">
    <w:name w:val="Heading 3 Char"/>
    <w:basedOn w:val="772"/>
    <w:uiPriority w:val="9"/>
    <w:qFormat/>
    <w:rPr>
      <w:rFonts w:ascii="Arial" w:hAnsi="Arial" w:eastAsia="Arial" w:cs="Arial"/>
      <w:sz w:val="30"/>
      <w:szCs w:val="30"/>
    </w:rPr>
  </w:style>
  <w:style w:type="character" w:styleId="808" w:customStyle="1">
    <w:name w:val="Heading 4 Char"/>
    <w:basedOn w:val="772"/>
    <w:uiPriority w:val="9"/>
    <w:rPr>
      <w:rFonts w:ascii="Arial" w:hAnsi="Arial" w:eastAsia="Arial" w:cs="Arial"/>
      <w:b/>
      <w:bCs/>
      <w:sz w:val="26"/>
      <w:szCs w:val="26"/>
    </w:rPr>
  </w:style>
  <w:style w:type="character" w:styleId="809" w:customStyle="1">
    <w:name w:val="Heading 5 Char"/>
    <w:basedOn w:val="772"/>
    <w:link w:val="767"/>
    <w:uiPriority w:val="9"/>
    <w:rPr>
      <w:rFonts w:ascii="Arial" w:hAnsi="Arial" w:eastAsia="Arial" w:cs="Arial"/>
      <w:b/>
      <w:bCs/>
      <w:sz w:val="24"/>
      <w:szCs w:val="24"/>
    </w:rPr>
  </w:style>
  <w:style w:type="character" w:styleId="810" w:customStyle="1">
    <w:name w:val="Heading 6 Char"/>
    <w:basedOn w:val="772"/>
    <w:link w:val="768"/>
    <w:uiPriority w:val="9"/>
    <w:qFormat/>
    <w:rPr>
      <w:rFonts w:ascii="Arial" w:hAnsi="Arial" w:eastAsia="Arial" w:cs="Arial"/>
      <w:b/>
      <w:bCs/>
      <w:sz w:val="22"/>
      <w:szCs w:val="22"/>
    </w:rPr>
  </w:style>
  <w:style w:type="character" w:styleId="811" w:customStyle="1">
    <w:name w:val="Heading 7 Char"/>
    <w:basedOn w:val="772"/>
    <w:link w:val="769"/>
    <w:uiPriority w:val="9"/>
    <w:rPr>
      <w:rFonts w:ascii="Arial" w:hAnsi="Arial" w:eastAsia="Arial" w:cs="Arial"/>
      <w:b/>
      <w:bCs/>
      <w:i/>
      <w:iCs/>
      <w:sz w:val="22"/>
      <w:szCs w:val="22"/>
    </w:rPr>
  </w:style>
  <w:style w:type="character" w:styleId="812" w:customStyle="1">
    <w:name w:val="Heading 8 Char"/>
    <w:basedOn w:val="772"/>
    <w:link w:val="770"/>
    <w:uiPriority w:val="9"/>
    <w:qFormat/>
    <w:rPr>
      <w:rFonts w:ascii="Arial" w:hAnsi="Arial" w:eastAsia="Arial" w:cs="Arial"/>
      <w:i/>
      <w:iCs/>
      <w:sz w:val="22"/>
      <w:szCs w:val="22"/>
    </w:rPr>
  </w:style>
  <w:style w:type="character" w:styleId="813" w:customStyle="1">
    <w:name w:val="Heading 9 Char"/>
    <w:basedOn w:val="772"/>
    <w:link w:val="771"/>
    <w:uiPriority w:val="9"/>
    <w:qFormat/>
    <w:rPr>
      <w:rFonts w:ascii="Arial" w:hAnsi="Arial" w:eastAsia="Arial" w:cs="Arial"/>
      <w:i/>
      <w:iCs/>
      <w:sz w:val="21"/>
      <w:szCs w:val="21"/>
    </w:rPr>
  </w:style>
  <w:style w:type="paragraph" w:styleId="814">
    <w:name w:val="List Paragraph"/>
    <w:basedOn w:val="762"/>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basedOn w:val="772"/>
    <w:link w:val="797"/>
    <w:uiPriority w:val="10"/>
    <w:qFormat/>
    <w:rPr>
      <w:sz w:val="48"/>
      <w:szCs w:val="48"/>
    </w:rPr>
  </w:style>
  <w:style w:type="character" w:styleId="817" w:customStyle="1">
    <w:name w:val="Subtitle Char"/>
    <w:basedOn w:val="772"/>
    <w:link w:val="790"/>
    <w:uiPriority w:val="11"/>
    <w:qFormat/>
    <w:rPr>
      <w:sz w:val="24"/>
      <w:szCs w:val="24"/>
    </w:rPr>
  </w:style>
  <w:style w:type="paragraph" w:styleId="818">
    <w:name w:val="Quote"/>
    <w:basedOn w:val="762"/>
    <w:next w:val="762"/>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2"/>
    <w:next w:val="76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2"/>
    <w:uiPriority w:val="99"/>
    <w:qFormat/>
  </w:style>
  <w:style w:type="character" w:styleId="823" w:customStyle="1">
    <w:name w:val="Footer Char"/>
    <w:basedOn w:val="772"/>
    <w:uiPriority w:val="99"/>
    <w:qFormat/>
  </w:style>
  <w:style w:type="character" w:styleId="824" w:customStyle="1">
    <w:name w:val="Caption Char"/>
    <w:uiPriority w:val="99"/>
    <w:qFormat/>
  </w:style>
  <w:style w:type="table" w:styleId="825" w:customStyle="1">
    <w:name w:val="Table Grid Light"/>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73"/>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7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73"/>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3"/>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73"/>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73"/>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73"/>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1"/>
    <w:uiPriority w:val="99"/>
    <w:qFormat/>
    <w:rPr>
      <w:sz w:val="18"/>
    </w:rPr>
  </w:style>
  <w:style w:type="character" w:styleId="951" w:customStyle="1">
    <w:name w:val="Endnote Text Char"/>
    <w:link w:val="784"/>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character" w:styleId="953" w:customStyle="1">
    <w:name w:val="标题 1 Char"/>
    <w:link w:val="763"/>
    <w:uiPriority w:val="0"/>
    <w:qFormat/>
    <w:rPr>
      <w:rFonts w:eastAsia="黑体"/>
      <w:b/>
      <w:bCs/>
      <w:sz w:val="36"/>
      <w:szCs w:val="44"/>
      <w:lang w:val="en-US" w:eastAsia="zh-CN" w:bidi="ar-SA"/>
    </w:rPr>
  </w:style>
  <w:style w:type="character" w:styleId="954" w:customStyle="1">
    <w:name w:val="标题 2 Char"/>
    <w:link w:val="764"/>
    <w:uiPriority w:val="0"/>
    <w:semiHidden/>
    <w:qFormat/>
    <w:rPr>
      <w:rFonts w:ascii="Cambria" w:hAnsi="Cambria" w:eastAsia="宋体" w:cs="Times New Roman"/>
      <w:b/>
      <w:bCs/>
      <w:sz w:val="32"/>
      <w:szCs w:val="32"/>
    </w:rPr>
  </w:style>
  <w:style w:type="character" w:styleId="955" w:customStyle="1">
    <w:name w:val="标题 3 Char"/>
    <w:link w:val="765"/>
    <w:uiPriority w:val="0"/>
    <w:qFormat/>
    <w:rPr>
      <w:b/>
      <w:bCs/>
      <w:sz w:val="32"/>
      <w:szCs w:val="32"/>
    </w:rPr>
  </w:style>
  <w:style w:type="character" w:styleId="956" w:customStyle="1">
    <w:name w:val="正文缩进 Char"/>
    <w:link w:val="774"/>
    <w:uiPriority w:val="0"/>
    <w:qFormat/>
    <w:rPr>
      <w:sz w:val="21"/>
      <w:szCs w:val="21"/>
    </w:rPr>
  </w:style>
  <w:style w:type="character" w:styleId="957" w:customStyle="1">
    <w:name w:val="标题 4 Char"/>
    <w:link w:val="766"/>
    <w:uiPriority w:val="0"/>
    <w:qFormat/>
    <w:rPr>
      <w:rFonts w:ascii="Cambria" w:hAnsi="Cambria" w:eastAsia="宋体" w:cs="Times New Roman"/>
      <w:b/>
      <w:bCs/>
      <w:sz w:val="28"/>
      <w:szCs w:val="28"/>
    </w:rPr>
  </w:style>
  <w:style w:type="character" w:styleId="958" w:customStyle="1">
    <w:name w:val="纯文本 Char"/>
    <w:link w:val="781"/>
    <w:uiPriority w:val="0"/>
    <w:qFormat/>
    <w:rPr>
      <w:rFonts w:ascii="宋体" w:hAnsi="Courier New" w:eastAsia="宋体"/>
      <w:sz w:val="21"/>
      <w:lang w:val="en-US" w:eastAsia="zh-CN" w:bidi="ar-SA"/>
    </w:rPr>
  </w:style>
  <w:style w:type="character" w:styleId="959" w:customStyle="1">
    <w:name w:val="页脚 Char"/>
    <w:link w:val="786"/>
    <w:uiPriority w:val="99"/>
    <w:qFormat/>
    <w:rPr>
      <w:sz w:val="18"/>
    </w:rPr>
  </w:style>
  <w:style w:type="character" w:styleId="960" w:customStyle="1">
    <w:name w:val="页眉 Char"/>
    <w:link w:val="787"/>
    <w:uiPriority w:val="0"/>
    <w:qFormat/>
    <w:rPr>
      <w:sz w:val="18"/>
      <w:szCs w:val="18"/>
    </w:rPr>
  </w:style>
  <w:style w:type="paragraph" w:styleId="961" w:customStyle="1">
    <w:name w:val="p0"/>
    <w:basedOn w:val="762"/>
    <w:uiPriority w:val="0"/>
    <w:qFormat/>
    <w:pPr>
      <w:jc w:val="left"/>
      <w:spacing w:before="100" w:beforeAutospacing="1" w:after="100" w:afterAutospacing="1"/>
      <w:widowControl/>
    </w:pPr>
    <w:rPr>
      <w:rFonts w:ascii="宋体" w:hAnsi="宋体" w:cs="宋体"/>
      <w:sz w:val="24"/>
    </w:rPr>
  </w:style>
  <w:style w:type="paragraph" w:styleId="962" w:customStyle="1">
    <w:name w:val="普通正文"/>
    <w:basedOn w:val="762"/>
    <w:uiPriority w:val="0"/>
    <w:qFormat/>
    <w:pPr>
      <w:ind w:firstLine="480"/>
      <w:jc w:val="left"/>
      <w:spacing w:before="120" w:after="120" w:line="360" w:lineRule="auto"/>
    </w:pPr>
    <w:rPr>
      <w:rFonts w:ascii="Arial" w:hAnsi="Arial"/>
      <w:sz w:val="24"/>
    </w:rPr>
  </w:style>
  <w:style w:type="paragraph" w:styleId="963" w:customStyle="1">
    <w:name w:val="Char"/>
    <w:basedOn w:val="762"/>
    <w:uiPriority w:val="0"/>
    <w:qFormat/>
    <w:pPr>
      <w:ind w:firstLine="200"/>
      <w:tabs>
        <w:tab w:val="left" w:pos="360" w:leader="none"/>
      </w:tabs>
    </w:pPr>
    <w:rPr>
      <w:sz w:val="28"/>
      <w:szCs w:val="30"/>
    </w:rPr>
  </w:style>
  <w:style w:type="paragraph" w:styleId="964" w:customStyle="1">
    <w:name w:val=" Char Char Char Char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9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6" w:customStyle="1">
    <w:name w:val="页脚1"/>
    <w:basedOn w:val="762"/>
    <w:uiPriority w:val="99"/>
    <w:unhideWhenUsed/>
    <w:qFormat/>
    <w:pPr>
      <w:jc w:val="left"/>
      <w:tabs>
        <w:tab w:val="center" w:pos="4153" w:leader="none"/>
        <w:tab w:val="right" w:pos="8306" w:leader="none"/>
      </w:tabs>
    </w:pPr>
    <w:rPr>
      <w:sz w:val="18"/>
      <w:szCs w:val="18"/>
    </w:rPr>
  </w:style>
  <w:style w:type="paragraph" w:styleId="967" w:customStyle="1">
    <w:name w:val="正文首行缩进 21"/>
    <w:basedOn w:val="968"/>
    <w:uiPriority w:val="0"/>
    <w:qFormat/>
    <w:pPr>
      <w:ind w:firstLine="420"/>
    </w:pPr>
  </w:style>
  <w:style w:type="paragraph" w:styleId="968" w:customStyle="1">
    <w:name w:val="正文文本缩进1"/>
    <w:basedOn w:val="762"/>
    <w:uiPriority w:val="0"/>
    <w:qFormat/>
    <w:pPr>
      <w:ind w:left="420"/>
      <w:spacing w:after="120"/>
    </w:pPr>
  </w:style>
  <w:style w:type="paragraph" w:styleId="969" w:customStyle="1">
    <w:name w:val="段"/>
    <w:next w:val="762"/>
    <w:uiPriority w:val="0"/>
    <w:qFormat/>
    <w:pPr>
      <w:ind w:firstLine="200"/>
      <w:jc w:val="both"/>
    </w:pPr>
    <w:rPr>
      <w:rFonts w:hint="default" w:ascii="宋体" w:hAnsi="Calibri" w:eastAsia="Times New Roman" w:cs="宋体"/>
      <w:sz w:val="21"/>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汤苏</cp:lastModifiedBy>
  <cp:revision>11</cp:revision>
  <dcterms:created xsi:type="dcterms:W3CDTF">2021-05-17T15:37:00Z</dcterms:created>
  <dcterms:modified xsi:type="dcterms:W3CDTF">2025-12-04T08:45:25Z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73EF9EE6797144E89FE731CA86186E12_13</vt:lpwstr>
  </property>
  <property fmtid="{D5CDD505-2E9C-101B-9397-08002B2CF9AE}" pid="4" name="KSOTemplateDocerSaveRecord">
    <vt:lpwstr>eyJoZGlkIjoiMWI0OTkwODg2NGVkMTFiNjdhN2ZjNzhiMTBjODg3YzAiLCJ1c2VySWQiOiI0MzMzMzUzNTkifQ==</vt:lpwstr>
  </property>
</Properties>
</file>